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38F05" w14:textId="4F4E8E5C" w:rsidR="006D7C23" w:rsidRPr="002910DD" w:rsidRDefault="006D7C23" w:rsidP="006D6A63">
      <w:pPr>
        <w:spacing w:before="0" w:after="0"/>
        <w:jc w:val="center"/>
      </w:pPr>
      <w:r w:rsidRPr="002910DD">
        <w:t>Weatherization Assistance Program</w:t>
      </w:r>
    </w:p>
    <w:p w14:paraId="3D727BA6" w14:textId="0FA035BB" w:rsidR="006D7C23" w:rsidRPr="009A7D9E" w:rsidRDefault="001C68B4" w:rsidP="006D6A63">
      <w:pPr>
        <w:spacing w:before="0"/>
        <w:jc w:val="center"/>
        <w:rPr>
          <w:b/>
          <w:sz w:val="24"/>
        </w:rPr>
      </w:pPr>
      <w:r w:rsidRPr="009A7D9E">
        <w:rPr>
          <w:b/>
          <w:sz w:val="24"/>
        </w:rPr>
        <w:t xml:space="preserve">SUBGRANTEE </w:t>
      </w:r>
      <w:r w:rsidR="004A658C">
        <w:rPr>
          <w:b/>
          <w:sz w:val="24"/>
        </w:rPr>
        <w:t>WEATHERIZATION</w:t>
      </w:r>
      <w:r w:rsidR="004A658C" w:rsidRPr="009A7D9E">
        <w:rPr>
          <w:b/>
          <w:sz w:val="24"/>
        </w:rPr>
        <w:t xml:space="preserve"> </w:t>
      </w:r>
      <w:r w:rsidR="006D7C23" w:rsidRPr="009A7D9E">
        <w:rPr>
          <w:b/>
          <w:sz w:val="24"/>
        </w:rPr>
        <w:t>WORK PLAN</w:t>
      </w:r>
    </w:p>
    <w:tbl>
      <w:tblPr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5009"/>
        <w:gridCol w:w="1753"/>
        <w:gridCol w:w="277"/>
        <w:gridCol w:w="461"/>
        <w:gridCol w:w="738"/>
        <w:gridCol w:w="1482"/>
      </w:tblGrid>
      <w:tr w:rsidR="00056869" w:rsidRPr="002910DD" w14:paraId="6E97BBC9" w14:textId="77777777" w:rsidTr="00D06CD4">
        <w:trPr>
          <w:trHeight w:val="360"/>
          <w:jc w:val="center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FE580F" w14:textId="0217F27F" w:rsidR="00056869" w:rsidRPr="00F967FE" w:rsidRDefault="00D06CD4" w:rsidP="006D6A63">
            <w:pPr>
              <w:spacing w:before="0" w:after="0"/>
              <w:rPr>
                <w:b/>
              </w:rPr>
            </w:pPr>
            <w:r>
              <w:rPr>
                <w:b/>
              </w:rPr>
              <w:t>CAA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7851F9A" w14:textId="77777777" w:rsidR="00056869" w:rsidRPr="002910DD" w:rsidRDefault="00056869" w:rsidP="006D6A63">
            <w:pPr>
              <w:spacing w:before="0" w:after="0"/>
            </w:pPr>
          </w:p>
        </w:tc>
        <w:tc>
          <w:tcPr>
            <w:tcW w:w="175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91A1D00" w14:textId="77777777" w:rsidR="00056869" w:rsidRPr="00F967FE" w:rsidRDefault="00AA5A0B" w:rsidP="006D6A63">
            <w:pPr>
              <w:spacing w:before="0" w:after="0"/>
              <w:rPr>
                <w:b/>
              </w:rPr>
            </w:pPr>
            <w:sdt>
              <w:sdtPr>
                <w:rPr>
                  <w:b/>
                </w:rPr>
                <w:id w:val="-46812292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277AB" w:rsidRPr="00F967F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277AB" w:rsidRPr="00F967FE">
              <w:rPr>
                <w:b/>
              </w:rPr>
              <w:t xml:space="preserve"> </w:t>
            </w:r>
            <w:r w:rsidR="00056869" w:rsidRPr="00F967FE">
              <w:rPr>
                <w:b/>
              </w:rPr>
              <w:t xml:space="preserve">Initial 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9D782D6" w14:textId="77777777" w:rsidR="00056869" w:rsidRPr="002910DD" w:rsidRDefault="00056869" w:rsidP="006D6A63">
            <w:pPr>
              <w:spacing w:before="0" w:after="0"/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BC30C8E" w14:textId="77777777" w:rsidR="00056869" w:rsidRPr="002910DD" w:rsidRDefault="00056869" w:rsidP="006D6A63">
            <w:pPr>
              <w:spacing w:before="0" w:after="0"/>
            </w:pPr>
          </w:p>
        </w:tc>
        <w:tc>
          <w:tcPr>
            <w:tcW w:w="73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4C58200" w14:textId="77777777" w:rsidR="00056869" w:rsidRPr="00F967FE" w:rsidRDefault="00056869" w:rsidP="006D6A63">
            <w:pPr>
              <w:spacing w:before="0" w:after="0"/>
              <w:rPr>
                <w:b/>
              </w:rPr>
            </w:pPr>
            <w:r w:rsidRPr="00F967FE">
              <w:rPr>
                <w:b/>
              </w:rPr>
              <w:t>Date</w:t>
            </w:r>
          </w:p>
        </w:tc>
        <w:tc>
          <w:tcPr>
            <w:tcW w:w="148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818E861" w14:textId="77777777" w:rsidR="00056869" w:rsidRPr="002910DD" w:rsidRDefault="00056869" w:rsidP="006D6A63">
            <w:pPr>
              <w:spacing w:before="0" w:after="0"/>
            </w:pPr>
          </w:p>
        </w:tc>
      </w:tr>
      <w:tr w:rsidR="00056869" w:rsidRPr="002910DD" w14:paraId="23DA82EC" w14:textId="77777777" w:rsidTr="00D06CD4">
        <w:trPr>
          <w:trHeight w:val="360"/>
          <w:jc w:val="center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0BF33F" w14:textId="4DFD7273" w:rsidR="00056869" w:rsidRPr="00F967FE" w:rsidRDefault="007D4FAF" w:rsidP="00D06CD4">
            <w:pPr>
              <w:spacing w:before="0" w:after="0"/>
              <w:rPr>
                <w:b/>
              </w:rPr>
            </w:pPr>
            <w:r w:rsidRPr="00F967FE">
              <w:rPr>
                <w:b/>
              </w:rPr>
              <w:t>Contract</w:t>
            </w:r>
          </w:p>
        </w:tc>
        <w:tc>
          <w:tcPr>
            <w:tcW w:w="50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B7FA103" w14:textId="07537984" w:rsidR="00056869" w:rsidRPr="002910DD" w:rsidRDefault="00056869" w:rsidP="00D06CD4">
            <w:pPr>
              <w:spacing w:before="0" w:after="0"/>
            </w:pPr>
          </w:p>
        </w:tc>
        <w:tc>
          <w:tcPr>
            <w:tcW w:w="175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A50C3DC" w14:textId="77777777" w:rsidR="00056869" w:rsidRPr="00F967FE" w:rsidRDefault="00AA5A0B" w:rsidP="006D6A63">
            <w:pPr>
              <w:spacing w:before="0" w:after="0"/>
              <w:rPr>
                <w:b/>
              </w:rPr>
            </w:pPr>
            <w:sdt>
              <w:sdtPr>
                <w:rPr>
                  <w:b/>
                </w:rPr>
                <w:id w:val="182446768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277AB" w:rsidRPr="00F967F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277AB" w:rsidRPr="00F967FE">
              <w:rPr>
                <w:b/>
              </w:rPr>
              <w:t xml:space="preserve"> </w:t>
            </w:r>
            <w:r w:rsidR="00056869" w:rsidRPr="00F967FE">
              <w:rPr>
                <w:b/>
              </w:rPr>
              <w:t xml:space="preserve">Amended 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776AB9B" w14:textId="77777777" w:rsidR="00056869" w:rsidRPr="002910DD" w:rsidRDefault="00056869" w:rsidP="006D6A63">
            <w:pPr>
              <w:spacing w:before="0" w:after="0"/>
            </w:pPr>
            <w:r w:rsidRPr="002910DD">
              <w:t>#</w:t>
            </w:r>
          </w:p>
        </w:tc>
        <w:tc>
          <w:tcPr>
            <w:tcW w:w="46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EA24D9A" w14:textId="77777777" w:rsidR="00056869" w:rsidRPr="002910DD" w:rsidRDefault="00056869" w:rsidP="006D6A63">
            <w:pPr>
              <w:spacing w:before="0" w:after="0"/>
            </w:pP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387BCD3" w14:textId="77777777" w:rsidR="00056869" w:rsidRPr="00F967FE" w:rsidRDefault="00056869" w:rsidP="006D6A63">
            <w:pPr>
              <w:spacing w:before="0" w:after="0"/>
              <w:rPr>
                <w:b/>
              </w:rPr>
            </w:pPr>
            <w:r w:rsidRPr="00F967FE">
              <w:rPr>
                <w:b/>
              </w:rPr>
              <w:t>Date</w:t>
            </w:r>
          </w:p>
        </w:tc>
        <w:tc>
          <w:tcPr>
            <w:tcW w:w="14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963C71E" w14:textId="77777777" w:rsidR="00056869" w:rsidRPr="002910DD" w:rsidRDefault="00056869" w:rsidP="006D6A63">
            <w:pPr>
              <w:spacing w:before="0" w:after="0"/>
            </w:pPr>
          </w:p>
        </w:tc>
      </w:tr>
    </w:tbl>
    <w:p w14:paraId="15EB7929" w14:textId="4C25BB83" w:rsidR="00AB5B38" w:rsidRPr="006D6A63" w:rsidRDefault="008D48AD" w:rsidP="006D6A63">
      <w:r w:rsidRPr="006D6A63">
        <w:t xml:space="preserve">Pursuant to </w:t>
      </w:r>
      <w:r w:rsidR="001D68D9" w:rsidRPr="006D6A63">
        <w:t xml:space="preserve">MaineHousing’s Weatherization Assistance </w:t>
      </w:r>
      <w:r w:rsidRPr="006D6A63">
        <w:t xml:space="preserve">Program </w:t>
      </w:r>
      <w:r w:rsidR="008B567A">
        <w:t xml:space="preserve">(WAP) </w:t>
      </w:r>
      <w:r w:rsidRPr="006D6A63">
        <w:t xml:space="preserve">Guidance </w:t>
      </w:r>
      <w:r w:rsidR="001D68D9" w:rsidRPr="006D6A63">
        <w:t>and Procedures (MaineHousing WAP Guidance)</w:t>
      </w:r>
      <w:r w:rsidRPr="006D6A63">
        <w:t xml:space="preserve">, the submission of a </w:t>
      </w:r>
      <w:r w:rsidR="00ED0556" w:rsidRPr="006D6A63">
        <w:t xml:space="preserve">Subgrantee </w:t>
      </w:r>
      <w:r w:rsidR="004A658C">
        <w:t>Weatherization</w:t>
      </w:r>
      <w:r w:rsidR="00ED0556" w:rsidRPr="006D6A63">
        <w:t xml:space="preserve"> </w:t>
      </w:r>
      <w:r w:rsidRPr="006D6A63">
        <w:t xml:space="preserve">Work Plan is required.  The Work Plan should summarize </w:t>
      </w:r>
      <w:r w:rsidR="001C68B4" w:rsidRPr="006D6A63">
        <w:t>Subgrantee</w:t>
      </w:r>
      <w:r w:rsidR="00ED0556" w:rsidRPr="006D6A63">
        <w:t>’s</w:t>
      </w:r>
      <w:r w:rsidRPr="006D6A63">
        <w:t xml:space="preserve"> policies and procedures for delivering </w:t>
      </w:r>
      <w:r w:rsidR="008B567A">
        <w:t>WAP</w:t>
      </w:r>
      <w:r w:rsidR="000C2D22" w:rsidRPr="006D6A63">
        <w:t xml:space="preserve"> </w:t>
      </w:r>
      <w:r w:rsidR="001C68B4" w:rsidRPr="006D6A63">
        <w:t xml:space="preserve">services </w:t>
      </w:r>
      <w:r w:rsidRPr="006D6A63">
        <w:t xml:space="preserve">and describe how the </w:t>
      </w:r>
      <w:r w:rsidR="001C68B4" w:rsidRPr="006D6A63">
        <w:t>Subgrantee</w:t>
      </w:r>
      <w:r w:rsidRPr="006D6A63">
        <w:t xml:space="preserve"> will meet the major program requirements.  The following is a list (not exhaustive) of topics that should be covered in the Work Plan.  </w:t>
      </w:r>
      <w:r w:rsidR="00F967FE" w:rsidRPr="00F967FE">
        <w:rPr>
          <w:b/>
        </w:rPr>
        <w:t>N</w:t>
      </w:r>
      <w:r w:rsidRPr="00F967FE">
        <w:rPr>
          <w:b/>
        </w:rPr>
        <w:t>ote:</w:t>
      </w:r>
      <w:r w:rsidRPr="006D6A63">
        <w:t xml:space="preserve">  Work Plans that do not adequately address these topics will be returned for revisions.  Until such time as the Work Plan and Budget are approved, work cannot commence using </w:t>
      </w:r>
      <w:r w:rsidR="00ED0556" w:rsidRPr="006D6A63">
        <w:t xml:space="preserve">above identified Program </w:t>
      </w:r>
      <w:r w:rsidRPr="006D6A63">
        <w:t>funds.</w:t>
      </w: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B5B38" w:rsidRPr="006D6A63" w14:paraId="14A48B62" w14:textId="77777777" w:rsidTr="00552429">
        <w:trPr>
          <w:trHeight w:val="360"/>
          <w:jc w:val="center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0593DD7C" w14:textId="6CF521B0" w:rsidR="00AB5B38" w:rsidRPr="009A7D9E" w:rsidRDefault="0095454C" w:rsidP="009A7D9E">
            <w:pPr>
              <w:pStyle w:val="Heading1"/>
              <w:outlineLvl w:val="0"/>
            </w:pPr>
            <w:r w:rsidRPr="009A7D9E">
              <w:t>1.  P</w:t>
            </w:r>
            <w:r w:rsidR="00AB5B38" w:rsidRPr="009A7D9E">
              <w:t>roduction Schedule</w:t>
            </w:r>
          </w:p>
        </w:tc>
      </w:tr>
      <w:tr w:rsidR="00AB5B38" w:rsidRPr="002910DD" w14:paraId="68E6D20C" w14:textId="77777777" w:rsidTr="00807086">
        <w:trPr>
          <w:trHeight w:val="360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0783DDF6" w14:textId="0CA107C5" w:rsidR="00AB5B38" w:rsidRPr="002910DD" w:rsidRDefault="00807086" w:rsidP="00F5075B">
            <w:pPr>
              <w:rPr>
                <w:i/>
              </w:rPr>
            </w:pPr>
            <w:r w:rsidRPr="002910DD">
              <w:t xml:space="preserve">Provide projected number of units to be weatherized and billed </w:t>
            </w:r>
            <w:r w:rsidR="00F5075B">
              <w:t>in</w:t>
            </w:r>
            <w:r w:rsidR="002B5285">
              <w:t xml:space="preserve"> the Budget Template</w:t>
            </w:r>
            <w:r w:rsidRPr="006D6A63">
              <w:rPr>
                <w:color w:val="0070C0"/>
              </w:rPr>
              <w:t>.</w:t>
            </w:r>
          </w:p>
        </w:tc>
      </w:tr>
    </w:tbl>
    <w:p w14:paraId="5105787F" w14:textId="7D79D6A9" w:rsidR="003C02EA" w:rsidRPr="002910DD" w:rsidRDefault="003C02EA" w:rsidP="009A7D9E">
      <w:pPr>
        <w:spacing w:before="0" w:after="0"/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D68D9" w:rsidRPr="002910DD" w14:paraId="5C1D7189" w14:textId="77777777" w:rsidTr="00552429">
        <w:trPr>
          <w:trHeight w:val="360"/>
          <w:jc w:val="center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12E7A7CF" w14:textId="240088F9" w:rsidR="001D68D9" w:rsidRPr="002910DD" w:rsidRDefault="0095454C" w:rsidP="008B567A">
            <w:pPr>
              <w:pStyle w:val="Heading1"/>
              <w:outlineLvl w:val="0"/>
            </w:pPr>
            <w:r>
              <w:t>2.  P</w:t>
            </w:r>
            <w:r w:rsidR="001D68D9" w:rsidRPr="002910DD">
              <w:t xml:space="preserve">riorities for </w:t>
            </w:r>
            <w:r w:rsidR="008B567A">
              <w:t>WAP</w:t>
            </w:r>
            <w:r w:rsidR="008B567A" w:rsidRPr="002910DD">
              <w:t xml:space="preserve"> </w:t>
            </w:r>
            <w:r w:rsidR="001D68D9" w:rsidRPr="002910DD">
              <w:t>and Wait List Policies</w:t>
            </w:r>
          </w:p>
        </w:tc>
      </w:tr>
      <w:tr w:rsidR="00876C64" w:rsidRPr="007D4FAF" w14:paraId="4B740E7A" w14:textId="77777777" w:rsidTr="001B28B0">
        <w:trPr>
          <w:trHeight w:val="360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5126A710" w14:textId="77777777" w:rsidR="00876C64" w:rsidRDefault="00955415" w:rsidP="00955415">
            <w:r>
              <w:t xml:space="preserve">How does Subgrantee prioritize services to eligible households </w:t>
            </w:r>
            <w:r w:rsidR="003F0088">
              <w:t>(how do you develop/manage your agency’s waitlist)</w:t>
            </w:r>
            <w:r w:rsidR="00056785">
              <w:t>?</w:t>
            </w:r>
          </w:p>
          <w:p w14:paraId="70997D97" w14:textId="5E42ABBE" w:rsidR="007C08F2" w:rsidRPr="007D4FAF" w:rsidRDefault="007C08F2" w:rsidP="00955415">
            <w:r>
              <w:rPr>
                <w:i/>
              </w:rPr>
              <w:t>Note: Maine uses HEAT Enterprise to calculate a WAP ranking for each household.The purpose of the WAP rank is to ensure households with the lowest income and the highest need are served first. The WAP rank is a tool for your waitlist and priority selection.</w:t>
            </w:r>
          </w:p>
        </w:tc>
      </w:tr>
      <w:tr w:rsidR="00876C64" w:rsidRPr="002910DD" w14:paraId="2926D132" w14:textId="77777777" w:rsidTr="00552429">
        <w:trPr>
          <w:trHeight w:val="720"/>
          <w:jc w:val="center"/>
        </w:trPr>
        <w:tc>
          <w:tcPr>
            <w:tcW w:w="10800" w:type="dxa"/>
          </w:tcPr>
          <w:p w14:paraId="14CD75A4" w14:textId="028B7501" w:rsidR="00842E1B" w:rsidRPr="00056785" w:rsidRDefault="00842E1B" w:rsidP="00103229">
            <w:pPr>
              <w:rPr>
                <w:i/>
              </w:rPr>
            </w:pPr>
          </w:p>
        </w:tc>
      </w:tr>
    </w:tbl>
    <w:p w14:paraId="095AE75B" w14:textId="5AF05F2F" w:rsidR="003C02EA" w:rsidRPr="002910DD" w:rsidRDefault="003C02EA" w:rsidP="009A7D9E">
      <w:pPr>
        <w:spacing w:before="0" w:after="0"/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D68D9" w:rsidRPr="002910DD" w14:paraId="5B111A8F" w14:textId="77777777" w:rsidTr="00807086">
        <w:trPr>
          <w:trHeight w:val="360"/>
          <w:jc w:val="center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7ECEB560" w14:textId="78C7AB93" w:rsidR="001D68D9" w:rsidRPr="002910DD" w:rsidRDefault="0095454C" w:rsidP="009A7D9E">
            <w:pPr>
              <w:pStyle w:val="Heading1"/>
              <w:outlineLvl w:val="0"/>
            </w:pPr>
            <w:r>
              <w:t>3.  W</w:t>
            </w:r>
            <w:r w:rsidR="001D68D9" w:rsidRPr="002910DD">
              <w:t xml:space="preserve">AP Delivery </w:t>
            </w:r>
          </w:p>
        </w:tc>
      </w:tr>
      <w:tr w:rsidR="00876C64" w:rsidRPr="002910DD" w14:paraId="17EA1C77" w14:textId="77777777" w:rsidTr="00807086">
        <w:trPr>
          <w:trHeight w:val="360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3A34D55D" w14:textId="083228E8" w:rsidR="00876C64" w:rsidRPr="002910DD" w:rsidRDefault="00A41C0C" w:rsidP="00036F8E">
            <w:r w:rsidRPr="002910DD">
              <w:t xml:space="preserve">How does </w:t>
            </w:r>
            <w:r w:rsidR="00CB0362">
              <w:t>Subgrantee</w:t>
            </w:r>
            <w:r w:rsidRPr="002910DD">
              <w:t xml:space="preserve"> plan to bring </w:t>
            </w:r>
            <w:r w:rsidR="00CB0362">
              <w:t>WAP</w:t>
            </w:r>
            <w:r w:rsidRPr="002910DD">
              <w:t xml:space="preserve"> </w:t>
            </w:r>
            <w:r w:rsidR="00506365">
              <w:t>services</w:t>
            </w:r>
            <w:r w:rsidRPr="002910DD">
              <w:t xml:space="preserve"> </w:t>
            </w:r>
            <w:r w:rsidR="00506365">
              <w:t>t</w:t>
            </w:r>
            <w:r w:rsidRPr="002910DD">
              <w:t xml:space="preserve">o </w:t>
            </w:r>
            <w:r w:rsidR="00CB0362">
              <w:t>the agency’s</w:t>
            </w:r>
            <w:r w:rsidRPr="002910DD">
              <w:t xml:space="preserve"> service area? </w:t>
            </w:r>
            <w:r w:rsidR="00876C64" w:rsidRPr="002910DD">
              <w:t>Describe geographic considerations, transportation, etc.</w:t>
            </w:r>
            <w:r w:rsidR="008F69C4" w:rsidRPr="002910DD">
              <w:t xml:space="preserve"> that impact the agency’s delivery of WAP.</w:t>
            </w:r>
            <w:r w:rsidRPr="002910DD">
              <w:t xml:space="preserve"> </w:t>
            </w:r>
          </w:p>
        </w:tc>
      </w:tr>
      <w:tr w:rsidR="00876C64" w:rsidRPr="002910DD" w14:paraId="1CE87A96" w14:textId="77777777" w:rsidTr="00552429">
        <w:trPr>
          <w:trHeight w:val="720"/>
          <w:jc w:val="center"/>
        </w:trPr>
        <w:tc>
          <w:tcPr>
            <w:tcW w:w="10800" w:type="dxa"/>
          </w:tcPr>
          <w:p w14:paraId="7195DA66" w14:textId="77777777" w:rsidR="00D81EEA" w:rsidRPr="002910DD" w:rsidRDefault="00D81EEA" w:rsidP="006D6A63"/>
        </w:tc>
      </w:tr>
    </w:tbl>
    <w:p w14:paraId="5752AB0F" w14:textId="0606E75B" w:rsidR="003C02EA" w:rsidRDefault="003C02EA" w:rsidP="009A7D9E">
      <w:pPr>
        <w:spacing w:before="0" w:after="0"/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3337C" w:rsidRPr="009A7D9E" w14:paraId="1FB4E1A1" w14:textId="77777777" w:rsidTr="00706245">
        <w:trPr>
          <w:trHeight w:val="360"/>
          <w:jc w:val="center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12AA0600" w14:textId="4F1C5C15" w:rsidR="0003337C" w:rsidRPr="009A7D9E" w:rsidRDefault="0003337C" w:rsidP="00706245">
            <w:pPr>
              <w:pStyle w:val="Heading1"/>
              <w:outlineLvl w:val="0"/>
            </w:pPr>
            <w:r>
              <w:t>4.  Con</w:t>
            </w:r>
            <w:r w:rsidR="00AA5A0B">
              <w:t>t</w:t>
            </w:r>
            <w:r>
              <w:t>racts for WAP Services</w:t>
            </w:r>
          </w:p>
        </w:tc>
      </w:tr>
      <w:tr w:rsidR="0003337C" w:rsidRPr="002910DD" w14:paraId="3DE37B72" w14:textId="77777777" w:rsidTr="00706245">
        <w:trPr>
          <w:trHeight w:val="360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794096BB" w14:textId="3EA15D48" w:rsidR="0003337C" w:rsidRPr="00FC4A06" w:rsidRDefault="0003337C" w:rsidP="008B567A">
            <w:pPr>
              <w:rPr>
                <w:b/>
              </w:rPr>
            </w:pPr>
            <w:r>
              <w:t xml:space="preserve">Provide a sample contract the agency uses for </w:t>
            </w:r>
            <w:r w:rsidR="008B567A">
              <w:t xml:space="preserve">WAP </w:t>
            </w:r>
            <w:r>
              <w:t>Contractors (</w:t>
            </w:r>
            <w:r>
              <w:rPr>
                <w:b/>
              </w:rPr>
              <w:t>A</w:t>
            </w:r>
            <w:r w:rsidR="003C02EA">
              <w:rPr>
                <w:b/>
              </w:rPr>
              <w:t>ttach</w:t>
            </w:r>
            <w:r>
              <w:rPr>
                <w:b/>
              </w:rPr>
              <w:t xml:space="preserve">ment </w:t>
            </w:r>
            <w:r w:rsidR="00036F8E"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</w:tr>
    </w:tbl>
    <w:p w14:paraId="126E5CEB" w14:textId="1DAD18A9" w:rsidR="00BF17B5" w:rsidRDefault="00BF17B5" w:rsidP="009A7D9E">
      <w:pPr>
        <w:spacing w:before="0" w:after="0"/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87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D0556" w:rsidRPr="002910DD" w14:paraId="6B464AAC" w14:textId="77777777" w:rsidTr="00187FB0">
        <w:trPr>
          <w:trHeight w:val="360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784E34A3" w14:textId="3056FC61" w:rsidR="00ED0556" w:rsidRPr="002910DD" w:rsidRDefault="000B5F73" w:rsidP="009A7D9E">
            <w:pPr>
              <w:pStyle w:val="Heading1"/>
              <w:outlineLvl w:val="0"/>
            </w:pPr>
            <w:r>
              <w:t>5</w:t>
            </w:r>
            <w:r w:rsidR="0095454C">
              <w:t>.  T</w:t>
            </w:r>
            <w:r w:rsidR="00ED0556" w:rsidRPr="002910DD">
              <w:t>ribal Organizations</w:t>
            </w:r>
          </w:p>
        </w:tc>
      </w:tr>
      <w:tr w:rsidR="00ED0556" w:rsidRPr="002910DD" w14:paraId="0B3D1EAD" w14:textId="77777777" w:rsidTr="00187FB0">
        <w:trPr>
          <w:trHeight w:val="360"/>
        </w:trPr>
        <w:tc>
          <w:tcPr>
            <w:tcW w:w="10800" w:type="dxa"/>
            <w:shd w:val="clear" w:color="auto" w:fill="auto"/>
            <w:vAlign w:val="center"/>
          </w:tcPr>
          <w:p w14:paraId="02AB9343" w14:textId="2E79DB7F" w:rsidR="00056785" w:rsidRPr="00056785" w:rsidRDefault="00955415" w:rsidP="008B567A">
            <w:pPr>
              <w:rPr>
                <w:b/>
              </w:rPr>
            </w:pPr>
            <w:r>
              <w:t xml:space="preserve">How does Subgrantee </w:t>
            </w:r>
            <w:r w:rsidR="00056785" w:rsidRPr="00056785">
              <w:t xml:space="preserve">coordinate efforts with </w:t>
            </w:r>
            <w:r w:rsidR="004A658C">
              <w:t>T</w:t>
            </w:r>
            <w:r w:rsidR="00056785" w:rsidRPr="00056785">
              <w:t xml:space="preserve">ribal housing organizations or what other outreach methods are used to deliver </w:t>
            </w:r>
            <w:r w:rsidR="008B567A">
              <w:t>WAP</w:t>
            </w:r>
            <w:r w:rsidR="008B567A" w:rsidRPr="00056785">
              <w:t xml:space="preserve"> </w:t>
            </w:r>
            <w:r w:rsidR="00056785" w:rsidRPr="00056785">
              <w:t>services, if applicable</w:t>
            </w:r>
            <w:r w:rsidR="004A658C">
              <w:t>?</w:t>
            </w:r>
            <w:r w:rsidR="00056785">
              <w:t xml:space="preserve"> </w:t>
            </w:r>
          </w:p>
        </w:tc>
      </w:tr>
      <w:tr w:rsidR="00ED0556" w:rsidRPr="002910DD" w14:paraId="0765EDEF" w14:textId="77777777" w:rsidTr="00187FB0">
        <w:trPr>
          <w:trHeight w:val="720"/>
        </w:trPr>
        <w:tc>
          <w:tcPr>
            <w:tcW w:w="10800" w:type="dxa"/>
          </w:tcPr>
          <w:p w14:paraId="42CE8234" w14:textId="3479ADE6" w:rsidR="00ED0556" w:rsidRPr="00056785" w:rsidRDefault="00ED0556" w:rsidP="006D6A63"/>
        </w:tc>
      </w:tr>
    </w:tbl>
    <w:p w14:paraId="3595DB51" w14:textId="77777777" w:rsidR="006D6A63" w:rsidRDefault="006D6A63" w:rsidP="009A7D9E">
      <w:pPr>
        <w:spacing w:before="0" w:after="0"/>
      </w:pPr>
    </w:p>
    <w:tbl>
      <w:tblPr>
        <w:tblStyle w:val="TableGrid"/>
        <w:tblpPr w:leftFromText="180" w:rightFromText="180" w:vertAnchor="text" w:horzAnchor="margin" w:tblpYSpec="outside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D0556" w:rsidRPr="002910DD" w14:paraId="0D0D54AF" w14:textId="77777777" w:rsidTr="00187FB0">
        <w:trPr>
          <w:trHeight w:val="360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12D19351" w14:textId="36F35457" w:rsidR="00ED0556" w:rsidRPr="002910DD" w:rsidRDefault="001B2807" w:rsidP="009A7D9E">
            <w:pPr>
              <w:pStyle w:val="Heading1"/>
              <w:outlineLvl w:val="0"/>
            </w:pPr>
            <w:r>
              <w:t>6</w:t>
            </w:r>
            <w:r w:rsidR="0095454C">
              <w:t>.  D</w:t>
            </w:r>
            <w:r w:rsidR="00ED0556" w:rsidRPr="002910DD">
              <w:t>eferrals</w:t>
            </w:r>
          </w:p>
        </w:tc>
      </w:tr>
      <w:tr w:rsidR="00ED0556" w:rsidRPr="002910DD" w14:paraId="01E47103" w14:textId="77777777" w:rsidTr="00187FB0">
        <w:trPr>
          <w:trHeight w:val="360"/>
        </w:trPr>
        <w:tc>
          <w:tcPr>
            <w:tcW w:w="10800" w:type="dxa"/>
            <w:shd w:val="clear" w:color="auto" w:fill="auto"/>
            <w:vAlign w:val="center"/>
          </w:tcPr>
          <w:p w14:paraId="4C644474" w14:textId="77D712AE" w:rsidR="00ED0556" w:rsidRDefault="00ED0556" w:rsidP="00C31D0F">
            <w:r w:rsidRPr="001C68B4">
              <w:t>How does Subgrantee identify</w:t>
            </w:r>
            <w:r>
              <w:t>,</w:t>
            </w:r>
            <w:r w:rsidRPr="001C68B4">
              <w:t xml:space="preserve"> process </w:t>
            </w:r>
            <w:r>
              <w:t xml:space="preserve">and track </w:t>
            </w:r>
            <w:r w:rsidRPr="001C68B4">
              <w:t xml:space="preserve">deferrals that prevent </w:t>
            </w:r>
            <w:r w:rsidR="008B567A">
              <w:t>WAP</w:t>
            </w:r>
            <w:r w:rsidR="008B567A" w:rsidRPr="001C68B4">
              <w:t xml:space="preserve"> </w:t>
            </w:r>
            <w:r w:rsidRPr="001C68B4">
              <w:t>services?</w:t>
            </w:r>
          </w:p>
          <w:p w14:paraId="53767146" w14:textId="31AE4EBF" w:rsidR="00056785" w:rsidRPr="00056785" w:rsidRDefault="00056785" w:rsidP="00C31D0F">
            <w:pPr>
              <w:rPr>
                <w:i/>
              </w:rPr>
            </w:pPr>
          </w:p>
        </w:tc>
      </w:tr>
      <w:tr w:rsidR="00ED0556" w:rsidRPr="002910DD" w14:paraId="536B8977" w14:textId="77777777" w:rsidTr="00187FB0">
        <w:trPr>
          <w:trHeight w:val="360"/>
        </w:trPr>
        <w:tc>
          <w:tcPr>
            <w:tcW w:w="10800" w:type="dxa"/>
            <w:shd w:val="clear" w:color="auto" w:fill="auto"/>
            <w:vAlign w:val="center"/>
          </w:tcPr>
          <w:p w14:paraId="33D026C1" w14:textId="26E7FE53" w:rsidR="00ED0556" w:rsidRPr="00056785" w:rsidRDefault="00ED0556" w:rsidP="006D6A63">
            <w:pPr>
              <w:pStyle w:val="BodyText"/>
              <w:rPr>
                <w:i/>
              </w:rPr>
            </w:pPr>
          </w:p>
        </w:tc>
      </w:tr>
    </w:tbl>
    <w:p w14:paraId="5F85726B" w14:textId="77777777" w:rsidR="00ED0556" w:rsidRDefault="00ED0556" w:rsidP="009A7D9E">
      <w:pPr>
        <w:spacing w:before="0" w:after="0"/>
      </w:pPr>
    </w:p>
    <w:tbl>
      <w:tblPr>
        <w:tblStyle w:val="TableGrid"/>
        <w:tblpPr w:leftFromText="180" w:rightFromText="180" w:vertAnchor="text" w:horzAnchor="margin" w:tblpY="-38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D0556" w:rsidRPr="002910DD" w14:paraId="55AEDF69" w14:textId="77777777" w:rsidTr="00187FB0">
        <w:trPr>
          <w:trHeight w:val="360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1D836B0F" w14:textId="6EE6C352" w:rsidR="00ED0556" w:rsidRPr="002910DD" w:rsidRDefault="001B2807" w:rsidP="009A7D9E">
            <w:pPr>
              <w:pStyle w:val="Heading1"/>
              <w:outlineLvl w:val="0"/>
            </w:pPr>
            <w:r>
              <w:lastRenderedPageBreak/>
              <w:t>7</w:t>
            </w:r>
            <w:r w:rsidR="0095454C">
              <w:t>.  C</w:t>
            </w:r>
            <w:r w:rsidR="00ED0556" w:rsidRPr="002910DD">
              <w:t>TEs</w:t>
            </w:r>
            <w:r w:rsidR="004A658C">
              <w:t xml:space="preserve"> (Clean, Tune, Evaluation)</w:t>
            </w:r>
          </w:p>
        </w:tc>
      </w:tr>
      <w:tr w:rsidR="00ED0556" w:rsidRPr="002910DD" w14:paraId="7768CD46" w14:textId="77777777" w:rsidTr="00187FB0">
        <w:trPr>
          <w:trHeight w:val="360"/>
        </w:trPr>
        <w:tc>
          <w:tcPr>
            <w:tcW w:w="10800" w:type="dxa"/>
            <w:shd w:val="clear" w:color="auto" w:fill="auto"/>
            <w:vAlign w:val="center"/>
          </w:tcPr>
          <w:p w14:paraId="30BDAB7E" w14:textId="37377BC7" w:rsidR="00ED0556" w:rsidRPr="001C68B4" w:rsidRDefault="00ED0556" w:rsidP="008B567A">
            <w:pPr>
              <w:rPr>
                <w:b/>
              </w:rPr>
            </w:pPr>
            <w:r>
              <w:t xml:space="preserve">How does Subgrantee </w:t>
            </w:r>
            <w:r w:rsidR="0095454C">
              <w:t>identify and address</w:t>
            </w:r>
            <w:r>
              <w:t xml:space="preserve"> </w:t>
            </w:r>
            <w:r w:rsidRPr="001C68B4">
              <w:t xml:space="preserve">CTEs for </w:t>
            </w:r>
            <w:r w:rsidR="008B567A">
              <w:t>WAP</w:t>
            </w:r>
            <w:r w:rsidR="008B567A" w:rsidRPr="001C68B4">
              <w:t xml:space="preserve"> </w:t>
            </w:r>
            <w:r w:rsidR="0095454C">
              <w:t>eligible households</w:t>
            </w:r>
            <w:r w:rsidRPr="001C68B4">
              <w:t xml:space="preserve">. </w:t>
            </w:r>
          </w:p>
        </w:tc>
      </w:tr>
      <w:tr w:rsidR="00ED0556" w:rsidRPr="002910DD" w14:paraId="7FBB7A9A" w14:textId="77777777" w:rsidTr="00187FB0">
        <w:trPr>
          <w:trHeight w:val="360"/>
        </w:trPr>
        <w:tc>
          <w:tcPr>
            <w:tcW w:w="10800" w:type="dxa"/>
            <w:shd w:val="clear" w:color="auto" w:fill="auto"/>
            <w:vAlign w:val="center"/>
          </w:tcPr>
          <w:p w14:paraId="0A97E1BB" w14:textId="77777777" w:rsidR="00ED0556" w:rsidRDefault="00ED0556" w:rsidP="006D6A63">
            <w:pPr>
              <w:pStyle w:val="BodyText"/>
            </w:pPr>
          </w:p>
        </w:tc>
      </w:tr>
    </w:tbl>
    <w:p w14:paraId="6EC3C32C" w14:textId="34F0124A" w:rsidR="00710E88" w:rsidRDefault="00710E88" w:rsidP="009A7D9E">
      <w:pPr>
        <w:spacing w:before="0" w:after="0"/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80731" w:rsidRPr="002910DD" w14:paraId="7F6116E1" w14:textId="77777777" w:rsidTr="00706245">
        <w:trPr>
          <w:trHeight w:val="360"/>
          <w:jc w:val="center"/>
        </w:trPr>
        <w:tc>
          <w:tcPr>
            <w:tcW w:w="10502" w:type="dxa"/>
            <w:shd w:val="clear" w:color="auto" w:fill="E2EFD9" w:themeFill="accent6" w:themeFillTint="33"/>
            <w:vAlign w:val="center"/>
          </w:tcPr>
          <w:p w14:paraId="27839E6A" w14:textId="79A49E8B" w:rsidR="00A80731" w:rsidRPr="002910DD" w:rsidRDefault="001B2807" w:rsidP="00706245">
            <w:pPr>
              <w:pStyle w:val="Heading1"/>
              <w:keepNext/>
              <w:keepLines/>
              <w:outlineLvl w:val="0"/>
            </w:pPr>
            <w:r>
              <w:t>8</w:t>
            </w:r>
            <w:r w:rsidR="00A80731">
              <w:t>. Appliances</w:t>
            </w:r>
          </w:p>
        </w:tc>
      </w:tr>
      <w:tr w:rsidR="002B5285" w:rsidRPr="002910DD" w14:paraId="2D00C6F7" w14:textId="77777777" w:rsidTr="008B567A">
        <w:trPr>
          <w:trHeight w:val="360"/>
          <w:jc w:val="center"/>
        </w:trPr>
        <w:tc>
          <w:tcPr>
            <w:tcW w:w="10502" w:type="dxa"/>
            <w:shd w:val="clear" w:color="auto" w:fill="auto"/>
            <w:vAlign w:val="center"/>
          </w:tcPr>
          <w:p w14:paraId="6DE60954" w14:textId="78918156" w:rsidR="002B5285" w:rsidRPr="006748DC" w:rsidRDefault="002B5285" w:rsidP="006748DC">
            <w:pPr>
              <w:pStyle w:val="Heading1"/>
              <w:keepNext/>
              <w:keepLines/>
              <w:jc w:val="left"/>
              <w:outlineLvl w:val="0"/>
              <w:rPr>
                <w:b w:val="0"/>
                <w:sz w:val="20"/>
              </w:rPr>
            </w:pPr>
            <w:r w:rsidRPr="006748DC">
              <w:rPr>
                <w:b w:val="0"/>
                <w:sz w:val="20"/>
              </w:rPr>
              <w:t xml:space="preserve">Subgrantees are required </w:t>
            </w:r>
            <w:r>
              <w:rPr>
                <w:b w:val="0"/>
                <w:sz w:val="20"/>
              </w:rPr>
              <w:t>to replace at least one appliance in each unit receiving weatherization servi</w:t>
            </w:r>
            <w:r w:rsidR="00F5075B">
              <w:rPr>
                <w:b w:val="0"/>
                <w:sz w:val="20"/>
              </w:rPr>
              <w:t>ces</w:t>
            </w:r>
            <w:r>
              <w:rPr>
                <w:b w:val="0"/>
                <w:sz w:val="20"/>
              </w:rPr>
              <w:t xml:space="preserve">. See Program Guidance for related details. </w:t>
            </w:r>
          </w:p>
        </w:tc>
      </w:tr>
      <w:tr w:rsidR="00A80731" w:rsidRPr="001C68B4" w14:paraId="04C5F08F" w14:textId="77777777" w:rsidTr="00706245">
        <w:trPr>
          <w:trHeight w:val="360"/>
          <w:jc w:val="center"/>
        </w:trPr>
        <w:tc>
          <w:tcPr>
            <w:tcW w:w="10502" w:type="dxa"/>
            <w:shd w:val="clear" w:color="auto" w:fill="auto"/>
            <w:vAlign w:val="center"/>
          </w:tcPr>
          <w:p w14:paraId="471B2154" w14:textId="25B99079" w:rsidR="00A80731" w:rsidRPr="00FC4A06" w:rsidRDefault="00A80731" w:rsidP="00FC4A06">
            <w:pPr>
              <w:pStyle w:val="ListParagraph"/>
              <w:keepNext/>
              <w:keepLines/>
              <w:numPr>
                <w:ilvl w:val="0"/>
                <w:numId w:val="9"/>
              </w:numPr>
            </w:pPr>
            <w:r w:rsidRPr="00FC4A06">
              <w:t>Provide manufacturers spec sheets or description of your agency</w:t>
            </w:r>
            <w:r w:rsidR="004A658C">
              <w:t>’s</w:t>
            </w:r>
            <w:r w:rsidRPr="00FC4A06">
              <w:t xml:space="preserve"> standard offering for each appliance</w:t>
            </w:r>
            <w:r w:rsidRPr="00A80731">
              <w:t xml:space="preserve">. </w:t>
            </w:r>
            <w:r>
              <w:rPr>
                <w:b/>
              </w:rPr>
              <w:t xml:space="preserve">(Attachment </w:t>
            </w:r>
            <w:r w:rsidR="008B567A">
              <w:rPr>
                <w:b/>
              </w:rPr>
              <w:t>B</w:t>
            </w:r>
            <w:r>
              <w:rPr>
                <w:b/>
              </w:rPr>
              <w:t>)</w:t>
            </w:r>
          </w:p>
          <w:p w14:paraId="25F2E619" w14:textId="77777777" w:rsidR="0003337C" w:rsidRPr="00FC4A06" w:rsidRDefault="0003337C" w:rsidP="00FC4A06">
            <w:pPr>
              <w:pStyle w:val="ListParagraph"/>
              <w:keepNext/>
              <w:keepLines/>
            </w:pPr>
          </w:p>
          <w:p w14:paraId="23B824EC" w14:textId="3F352EA9" w:rsidR="00A80731" w:rsidRDefault="00A80731" w:rsidP="00FC4A06">
            <w:pPr>
              <w:pStyle w:val="ListParagraph"/>
              <w:keepNext/>
              <w:keepLines/>
              <w:numPr>
                <w:ilvl w:val="0"/>
                <w:numId w:val="9"/>
              </w:numPr>
            </w:pPr>
            <w:r>
              <w:t>Describe your agency’s procurement process for the purchase and installation of appliances.</w:t>
            </w:r>
          </w:p>
          <w:p w14:paraId="764BE7A7" w14:textId="77777777" w:rsidR="0003337C" w:rsidRDefault="0003337C" w:rsidP="00FC4A06">
            <w:pPr>
              <w:pStyle w:val="ListParagraph"/>
              <w:keepNext/>
              <w:keepLines/>
            </w:pPr>
          </w:p>
          <w:p w14:paraId="4AB7B5CA" w14:textId="5D8D786F" w:rsidR="00A80731" w:rsidRPr="00A80731" w:rsidRDefault="00A80731" w:rsidP="00FC4A06">
            <w:pPr>
              <w:pStyle w:val="ListParagraph"/>
              <w:keepNext/>
              <w:keepLines/>
              <w:numPr>
                <w:ilvl w:val="0"/>
                <w:numId w:val="9"/>
              </w:numPr>
            </w:pPr>
            <w:r>
              <w:t>Describe the criteria your agency will use to determine if an appliance is inefficient or nearing the end of it’s useful life.</w:t>
            </w:r>
          </w:p>
        </w:tc>
      </w:tr>
    </w:tbl>
    <w:p w14:paraId="78FA7EB1" w14:textId="730D65C0" w:rsidR="00A80731" w:rsidRDefault="00A80731" w:rsidP="009A7D9E">
      <w:pPr>
        <w:spacing w:before="0" w:after="0"/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F4EAA" w:rsidRPr="002910DD" w14:paraId="6F7587D7" w14:textId="77777777" w:rsidTr="00971904">
        <w:trPr>
          <w:trHeight w:val="360"/>
          <w:jc w:val="center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0CCB5481" w14:textId="18CF3118" w:rsidR="001F4EAA" w:rsidRPr="002910DD" w:rsidRDefault="001B2807" w:rsidP="00971904">
            <w:pPr>
              <w:pStyle w:val="Heading1"/>
              <w:outlineLvl w:val="0"/>
            </w:pPr>
            <w:r>
              <w:t>9</w:t>
            </w:r>
            <w:r w:rsidR="001F4EAA">
              <w:t>.  Permits and Inspections</w:t>
            </w:r>
            <w:r w:rsidR="001F4EAA" w:rsidRPr="002910DD">
              <w:t xml:space="preserve"> </w:t>
            </w:r>
          </w:p>
        </w:tc>
      </w:tr>
      <w:tr w:rsidR="001F4EAA" w:rsidRPr="002910DD" w14:paraId="312426E5" w14:textId="77777777" w:rsidTr="00971904">
        <w:trPr>
          <w:trHeight w:val="360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0AE93F0A" w14:textId="34F10D62" w:rsidR="001F4EAA" w:rsidRPr="002910DD" w:rsidRDefault="001F4EAA" w:rsidP="008B567A">
            <w:r>
              <w:t xml:space="preserve">How does Subgrantee </w:t>
            </w:r>
            <w:r w:rsidR="00E144C6">
              <w:t xml:space="preserve">document and </w:t>
            </w:r>
            <w:r>
              <w:t xml:space="preserve">ensure required permits are being obtained by your </w:t>
            </w:r>
            <w:r w:rsidR="008B567A">
              <w:t xml:space="preserve">WAP </w:t>
            </w:r>
            <w:r>
              <w:t xml:space="preserve">Contractor or any Subcontractor on tasks that would require </w:t>
            </w:r>
            <w:r w:rsidR="008B567A">
              <w:t xml:space="preserve">permits </w:t>
            </w:r>
            <w:r>
              <w:t>by the municipality</w:t>
            </w:r>
            <w:r w:rsidR="004A658C">
              <w:t>?</w:t>
            </w:r>
            <w:r w:rsidRPr="002910DD">
              <w:t xml:space="preserve"> </w:t>
            </w:r>
            <w:r>
              <w:t xml:space="preserve">This is to also include any code </w:t>
            </w:r>
            <w:r w:rsidR="004A658C">
              <w:t xml:space="preserve">enforcement </w:t>
            </w:r>
            <w:r>
              <w:t xml:space="preserve"> sign off inspections.</w:t>
            </w:r>
          </w:p>
        </w:tc>
      </w:tr>
      <w:tr w:rsidR="001F4EAA" w:rsidRPr="002910DD" w14:paraId="17FD3C5F" w14:textId="77777777" w:rsidTr="00971904">
        <w:trPr>
          <w:trHeight w:val="720"/>
          <w:jc w:val="center"/>
        </w:trPr>
        <w:tc>
          <w:tcPr>
            <w:tcW w:w="10800" w:type="dxa"/>
          </w:tcPr>
          <w:p w14:paraId="52F4E4E0" w14:textId="77777777" w:rsidR="001F4EAA" w:rsidRPr="002910DD" w:rsidRDefault="001F4EAA" w:rsidP="00971904"/>
        </w:tc>
      </w:tr>
    </w:tbl>
    <w:p w14:paraId="1DB40271" w14:textId="1569A993" w:rsidR="00A80731" w:rsidRDefault="00A80731" w:rsidP="009A7D9E">
      <w:pPr>
        <w:spacing w:before="0" w:after="0"/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51F56" w:rsidRPr="002910DD" w14:paraId="6F22D328" w14:textId="77777777" w:rsidTr="00BB7376">
        <w:trPr>
          <w:trHeight w:val="360"/>
          <w:jc w:val="center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25CE1C5D" w14:textId="6EFC1737" w:rsidR="00C51F56" w:rsidRPr="002910DD" w:rsidRDefault="001B2807" w:rsidP="00BB7376">
            <w:pPr>
              <w:pStyle w:val="Heading1"/>
              <w:outlineLvl w:val="0"/>
            </w:pPr>
            <w:r>
              <w:t>10</w:t>
            </w:r>
            <w:r w:rsidR="00C51F56">
              <w:t>. HEAT Enterprise Process</w:t>
            </w:r>
          </w:p>
        </w:tc>
      </w:tr>
      <w:tr w:rsidR="00C51F56" w:rsidRPr="002910DD" w14:paraId="237841F2" w14:textId="77777777" w:rsidTr="00BB7376">
        <w:trPr>
          <w:trHeight w:val="360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260B884A" w14:textId="49FF2846" w:rsidR="00C51F56" w:rsidRPr="002910DD" w:rsidRDefault="00955415" w:rsidP="008B567A">
            <w:r>
              <w:t>How does Subgrantee utilize</w:t>
            </w:r>
            <w:r w:rsidR="00C51F56">
              <w:t xml:space="preserve"> HEAT for the duration of the </w:t>
            </w:r>
            <w:r w:rsidR="008B567A">
              <w:t xml:space="preserve">WAP </w:t>
            </w:r>
            <w:r w:rsidR="00C51F56">
              <w:t>project (i.e. scheduling, auditing, work order, etc…)?</w:t>
            </w:r>
            <w:r w:rsidR="00C51F56" w:rsidRPr="002910DD">
              <w:t xml:space="preserve"> </w:t>
            </w:r>
          </w:p>
        </w:tc>
      </w:tr>
      <w:tr w:rsidR="00C51F56" w:rsidRPr="002910DD" w14:paraId="643C0C5D" w14:textId="77777777" w:rsidTr="00BB7376">
        <w:trPr>
          <w:trHeight w:val="720"/>
          <w:jc w:val="center"/>
        </w:trPr>
        <w:tc>
          <w:tcPr>
            <w:tcW w:w="10800" w:type="dxa"/>
          </w:tcPr>
          <w:p w14:paraId="5786AA31" w14:textId="77777777" w:rsidR="00C51F56" w:rsidRPr="002910DD" w:rsidRDefault="00C51F56" w:rsidP="00BB7376"/>
        </w:tc>
      </w:tr>
    </w:tbl>
    <w:p w14:paraId="3A1C096C" w14:textId="77777777" w:rsidR="007033AB" w:rsidRDefault="007033AB" w:rsidP="009A7D9E">
      <w:pPr>
        <w:spacing w:before="0" w:after="0"/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51F56" w:rsidRPr="002910DD" w14:paraId="6C591EF7" w14:textId="77777777" w:rsidTr="00BB7376">
        <w:trPr>
          <w:trHeight w:val="360"/>
          <w:jc w:val="center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532C7A35" w14:textId="5E82B5CA" w:rsidR="00C51F56" w:rsidRPr="002910DD" w:rsidRDefault="001B2807" w:rsidP="00BB7376">
            <w:pPr>
              <w:pStyle w:val="Heading1"/>
              <w:keepNext/>
              <w:keepLines/>
              <w:outlineLvl w:val="0"/>
            </w:pPr>
            <w:r>
              <w:t>11</w:t>
            </w:r>
            <w:r w:rsidR="00C51F56">
              <w:t>.  L</w:t>
            </w:r>
            <w:r w:rsidR="00C51F56" w:rsidRPr="002910DD">
              <w:t>everaged Resources</w:t>
            </w:r>
          </w:p>
        </w:tc>
      </w:tr>
      <w:tr w:rsidR="00C51F56" w:rsidRPr="002910DD" w14:paraId="240F7410" w14:textId="77777777" w:rsidTr="00BB7376">
        <w:trPr>
          <w:trHeight w:val="360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3205D029" w14:textId="0BCEEA1C" w:rsidR="00C51F56" w:rsidRPr="002910DD" w:rsidRDefault="00C51F56" w:rsidP="00BB7376">
            <w:pPr>
              <w:keepNext/>
              <w:keepLines/>
            </w:pPr>
            <w:r>
              <w:t>How does Subgrantee use non-WAP funds in conjunction with WAP</w:t>
            </w:r>
            <w:r w:rsidR="00B10960">
              <w:t xml:space="preserve"> (DOE and HEAP)</w:t>
            </w:r>
            <w:r>
              <w:t xml:space="preserve"> funds in servicing eligible homes?  List specific </w:t>
            </w:r>
            <w:r w:rsidRPr="002910DD">
              <w:t>resources anticipated to be used to leverage WAP.</w:t>
            </w:r>
            <w:r>
              <w:t xml:space="preserve"> </w:t>
            </w:r>
          </w:p>
        </w:tc>
      </w:tr>
      <w:tr w:rsidR="00C51F56" w:rsidRPr="002910DD" w14:paraId="72C52968" w14:textId="77777777" w:rsidTr="00BB7376">
        <w:trPr>
          <w:trHeight w:val="720"/>
          <w:jc w:val="center"/>
        </w:trPr>
        <w:tc>
          <w:tcPr>
            <w:tcW w:w="10800" w:type="dxa"/>
          </w:tcPr>
          <w:p w14:paraId="7FE44201" w14:textId="77777777" w:rsidR="00C51F56" w:rsidRPr="002910DD" w:rsidRDefault="00C51F56" w:rsidP="00BB7376">
            <w:pPr>
              <w:keepNext/>
              <w:keepLines/>
            </w:pPr>
          </w:p>
        </w:tc>
      </w:tr>
    </w:tbl>
    <w:p w14:paraId="0A0BEC75" w14:textId="77777777" w:rsidR="00C51F56" w:rsidRDefault="00C51F56" w:rsidP="009A7D9E">
      <w:pPr>
        <w:spacing w:before="0" w:after="0"/>
      </w:pPr>
    </w:p>
    <w:tbl>
      <w:tblPr>
        <w:tblStyle w:val="TableGrid"/>
        <w:tblpPr w:leftFromText="180" w:rightFromText="180" w:vertAnchor="text" w:horzAnchor="margin" w:tblpY="-25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800"/>
      </w:tblGrid>
      <w:tr w:rsidR="00ED0556" w:rsidRPr="002910DD" w14:paraId="251EBE00" w14:textId="77777777" w:rsidTr="00187FB0">
        <w:trPr>
          <w:trHeight w:val="360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35AF6768" w14:textId="5F35E7F2" w:rsidR="00ED0556" w:rsidRPr="002910DD" w:rsidRDefault="001B2807" w:rsidP="009A7D9E">
            <w:pPr>
              <w:pStyle w:val="Heading1"/>
              <w:outlineLvl w:val="0"/>
            </w:pPr>
            <w:r>
              <w:t>12</w:t>
            </w:r>
            <w:r w:rsidR="0095454C">
              <w:t>.  W</w:t>
            </w:r>
            <w:r w:rsidR="00ED0556" w:rsidRPr="002910DD">
              <w:t>eatherization Personnel</w:t>
            </w:r>
          </w:p>
        </w:tc>
      </w:tr>
      <w:tr w:rsidR="00ED0556" w:rsidRPr="002910DD" w14:paraId="6D04947A" w14:textId="77777777" w:rsidTr="00187FB0">
        <w:trPr>
          <w:trHeight w:val="360"/>
        </w:trPr>
        <w:tc>
          <w:tcPr>
            <w:tcW w:w="10800" w:type="dxa"/>
            <w:shd w:val="clear" w:color="auto" w:fill="auto"/>
          </w:tcPr>
          <w:p w14:paraId="276BC8D6" w14:textId="39F64CA4" w:rsidR="00ED0556" w:rsidRPr="008417CC" w:rsidRDefault="00ED0556" w:rsidP="00B10960">
            <w:pPr>
              <w:rPr>
                <w:color w:val="000000" w:themeColor="text1"/>
              </w:rPr>
            </w:pPr>
            <w:r w:rsidRPr="002910DD">
              <w:t xml:space="preserve">Provide the names of </w:t>
            </w:r>
            <w:r>
              <w:t xml:space="preserve">Subgrantee’s </w:t>
            </w:r>
            <w:r w:rsidR="004A658C">
              <w:t>Weatherization</w:t>
            </w:r>
            <w:r w:rsidR="004A658C" w:rsidRPr="002910DD">
              <w:t xml:space="preserve"> </w:t>
            </w:r>
            <w:r w:rsidRPr="002910DD">
              <w:t>personnel</w:t>
            </w:r>
            <w:r>
              <w:t>,</w:t>
            </w:r>
            <w:r w:rsidRPr="002910DD">
              <w:t xml:space="preserve"> their relevant experience in and certification/license for weatherization activities.  The list must include the certification name/type and date of expirations for </w:t>
            </w:r>
            <w:r>
              <w:t>all</w:t>
            </w:r>
            <w:r w:rsidRPr="002910DD">
              <w:t xml:space="preserve"> </w:t>
            </w:r>
            <w:r w:rsidR="004A658C">
              <w:t>W</w:t>
            </w:r>
            <w:r w:rsidRPr="002910DD">
              <w:t xml:space="preserve">eatherization personnel.  The list must include, but is not limited to, BPI certifications, RRP certifications, Maine Fuel Board licenses and other relevant certification/licenses.  The list must also include management personnel, their title and responsibility regarding </w:t>
            </w:r>
            <w:r w:rsidR="00B10960">
              <w:t>WAP</w:t>
            </w:r>
            <w:r w:rsidR="00B10960" w:rsidRPr="002910DD">
              <w:t xml:space="preserve"> </w:t>
            </w:r>
            <w:r w:rsidRPr="002910DD">
              <w:t>activities.</w:t>
            </w:r>
            <w:r w:rsidR="007033AB">
              <w:rPr>
                <w:color w:val="0070C0"/>
              </w:rPr>
              <w:t xml:space="preserve"> </w:t>
            </w:r>
            <w:r w:rsidR="008417CC">
              <w:rPr>
                <w:b/>
                <w:color w:val="0070C0"/>
              </w:rPr>
              <w:t xml:space="preserve"> </w:t>
            </w:r>
            <w:r w:rsidR="008417CC">
              <w:rPr>
                <w:b/>
              </w:rPr>
              <w:t>(</w:t>
            </w:r>
            <w:r w:rsidR="008417CC">
              <w:rPr>
                <w:b/>
                <w:color w:val="000000" w:themeColor="text1"/>
              </w:rPr>
              <w:t xml:space="preserve">Attachment </w:t>
            </w:r>
            <w:r w:rsidR="00B10960">
              <w:rPr>
                <w:b/>
                <w:color w:val="000000" w:themeColor="text1"/>
              </w:rPr>
              <w:t>C</w:t>
            </w:r>
            <w:r w:rsidR="008417CC">
              <w:rPr>
                <w:b/>
                <w:color w:val="000000" w:themeColor="text1"/>
              </w:rPr>
              <w:t>)</w:t>
            </w:r>
          </w:p>
        </w:tc>
      </w:tr>
    </w:tbl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5454C" w:rsidRPr="002910DD" w14:paraId="0C9865FA" w14:textId="77777777" w:rsidTr="006D6A63">
        <w:trPr>
          <w:trHeight w:val="360"/>
          <w:jc w:val="center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4876B206" w14:textId="044A42A6" w:rsidR="0095454C" w:rsidRPr="002910DD" w:rsidRDefault="00C51F56" w:rsidP="00FE00A4">
            <w:pPr>
              <w:pStyle w:val="Heading1"/>
              <w:outlineLvl w:val="0"/>
            </w:pPr>
            <w:r>
              <w:t>1</w:t>
            </w:r>
            <w:r w:rsidR="001B2807">
              <w:t>3</w:t>
            </w:r>
            <w:r w:rsidR="0095454C">
              <w:t>.  T</w:t>
            </w:r>
            <w:r w:rsidR="0095454C" w:rsidRPr="002910DD">
              <w:t>raining and Technical Assistance (T&amp;TA)</w:t>
            </w:r>
          </w:p>
        </w:tc>
      </w:tr>
      <w:tr w:rsidR="0095454C" w:rsidRPr="002910DD" w14:paraId="2FA625B5" w14:textId="77777777" w:rsidTr="00187FB0">
        <w:trPr>
          <w:trHeight w:val="360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4D8CDA79" w14:textId="0A123D91" w:rsidR="0095454C" w:rsidRPr="008417CC" w:rsidRDefault="0095454C" w:rsidP="00B10960">
            <w:r w:rsidRPr="002910DD">
              <w:t xml:space="preserve">Subgrantees are required to submit a </w:t>
            </w:r>
            <w:r w:rsidRPr="00552429">
              <w:t xml:space="preserve">Subgrantee T&amp;TA Plan and Budget for Grantee approval. Subgrantees </w:t>
            </w:r>
            <w:r w:rsidRPr="002910DD">
              <w:t xml:space="preserve">must </w:t>
            </w:r>
            <w:r w:rsidR="00533776">
              <w:t>complete</w:t>
            </w:r>
            <w:r w:rsidRPr="002910DD">
              <w:t xml:space="preserve"> </w:t>
            </w:r>
            <w:r w:rsidR="009A7D9E">
              <w:t xml:space="preserve">MaineHousing’s </w:t>
            </w:r>
            <w:r w:rsidRPr="00B10960">
              <w:rPr>
                <w:i/>
              </w:rPr>
              <w:t>Subgrarntee T&amp;TA Plan</w:t>
            </w:r>
            <w:r w:rsidRPr="00B10960">
              <w:t xml:space="preserve"> </w:t>
            </w:r>
            <w:r>
              <w:t xml:space="preserve">template </w:t>
            </w:r>
            <w:r w:rsidRPr="002910DD">
              <w:t xml:space="preserve">and attach the completed </w:t>
            </w:r>
            <w:r>
              <w:t xml:space="preserve">template </w:t>
            </w:r>
            <w:r w:rsidRPr="002910DD">
              <w:t xml:space="preserve">to the Work Plan.  </w:t>
            </w:r>
            <w:r w:rsidR="00577DD7">
              <w:rPr>
                <w:szCs w:val="20"/>
              </w:rPr>
              <w:t>The template contains DOE T&amp;TA eligible conferences scheduled for PY 202</w:t>
            </w:r>
            <w:r w:rsidR="000E5DE9">
              <w:rPr>
                <w:szCs w:val="20"/>
              </w:rPr>
              <w:t>2</w:t>
            </w:r>
            <w:r w:rsidR="00577DD7">
              <w:rPr>
                <w:szCs w:val="20"/>
              </w:rPr>
              <w:t xml:space="preserve">.  Provide the names/titles of staff/contractors the Subgrantee intends to send to each conference, if any.  In addition, list other conference and/or training events that the Subgrantee intends to send </w:t>
            </w:r>
            <w:r w:rsidR="004A658C">
              <w:rPr>
                <w:szCs w:val="20"/>
              </w:rPr>
              <w:t xml:space="preserve">Weatherization </w:t>
            </w:r>
            <w:r w:rsidR="00577DD7">
              <w:rPr>
                <w:szCs w:val="20"/>
              </w:rPr>
              <w:t>staff/contractors using T&amp;TA funds.</w:t>
            </w:r>
            <w:r w:rsidR="00BF17B5">
              <w:rPr>
                <w:szCs w:val="20"/>
              </w:rPr>
              <w:t>T&amp;TA funds can only be used for conferences/trainings that directly relate to WAP.</w:t>
            </w:r>
            <w:r w:rsidR="00EE50F3">
              <w:rPr>
                <w:szCs w:val="20"/>
              </w:rPr>
              <w:t xml:space="preserve"> If other conference</w:t>
            </w:r>
            <w:r w:rsidR="00BF17B5">
              <w:rPr>
                <w:szCs w:val="20"/>
              </w:rPr>
              <w:t>s</w:t>
            </w:r>
            <w:r w:rsidR="00EE50F3">
              <w:rPr>
                <w:szCs w:val="20"/>
              </w:rPr>
              <w:t xml:space="preserve"> and/or training events come available after approval of your </w:t>
            </w:r>
            <w:r w:rsidR="00B10960">
              <w:rPr>
                <w:szCs w:val="20"/>
              </w:rPr>
              <w:t>W</w:t>
            </w:r>
            <w:r w:rsidR="00EE50F3">
              <w:rPr>
                <w:szCs w:val="20"/>
              </w:rPr>
              <w:t xml:space="preserve">ork </w:t>
            </w:r>
            <w:r w:rsidR="00B10960">
              <w:rPr>
                <w:szCs w:val="20"/>
              </w:rPr>
              <w:t>P</w:t>
            </w:r>
            <w:r w:rsidR="00EE50F3">
              <w:rPr>
                <w:szCs w:val="20"/>
              </w:rPr>
              <w:t>lan yo</w:t>
            </w:r>
            <w:r w:rsidR="00BF17B5">
              <w:rPr>
                <w:szCs w:val="20"/>
              </w:rPr>
              <w:t>u will need to submit a request to MaineHousing on a case by case basis for approval to utilize T&amp;TA funds for such conference/training</w:t>
            </w:r>
            <w:r w:rsidR="00EE50F3">
              <w:rPr>
                <w:szCs w:val="20"/>
              </w:rPr>
              <w:t>.</w:t>
            </w:r>
            <w:r w:rsidR="00577DD7">
              <w:t xml:space="preserve"> </w:t>
            </w:r>
            <w:r w:rsidR="008417CC">
              <w:rPr>
                <w:b/>
                <w:color w:val="0070C0"/>
              </w:rPr>
              <w:t xml:space="preserve"> </w:t>
            </w:r>
            <w:r w:rsidR="008417CC">
              <w:rPr>
                <w:b/>
              </w:rPr>
              <w:t xml:space="preserve">(Attachment </w:t>
            </w:r>
            <w:r w:rsidR="00B10960">
              <w:rPr>
                <w:b/>
              </w:rPr>
              <w:t>D</w:t>
            </w:r>
            <w:r w:rsidR="008417CC">
              <w:rPr>
                <w:b/>
              </w:rPr>
              <w:t>)</w:t>
            </w:r>
          </w:p>
        </w:tc>
      </w:tr>
    </w:tbl>
    <w:p w14:paraId="171C033A" w14:textId="30D0AD47" w:rsidR="0095454C" w:rsidRDefault="0095454C" w:rsidP="009A7D9E">
      <w:pPr>
        <w:spacing w:before="0" w:after="0"/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51F56" w:rsidRPr="002910DD" w14:paraId="3AE6C520" w14:textId="77777777" w:rsidTr="00BB7376">
        <w:trPr>
          <w:trHeight w:val="360"/>
          <w:jc w:val="center"/>
        </w:trPr>
        <w:tc>
          <w:tcPr>
            <w:tcW w:w="10502" w:type="dxa"/>
            <w:shd w:val="clear" w:color="auto" w:fill="E2EFD9" w:themeFill="accent6" w:themeFillTint="33"/>
            <w:vAlign w:val="center"/>
          </w:tcPr>
          <w:p w14:paraId="01051441" w14:textId="1A99B64C" w:rsidR="00C51F56" w:rsidRPr="002910DD" w:rsidRDefault="00C51F56" w:rsidP="00FE00A4">
            <w:pPr>
              <w:pStyle w:val="Heading1"/>
              <w:keepNext/>
              <w:keepLines/>
              <w:outlineLvl w:val="0"/>
            </w:pPr>
            <w:r>
              <w:t>1</w:t>
            </w:r>
            <w:r w:rsidR="001B2807">
              <w:t>4</w:t>
            </w:r>
            <w:r>
              <w:t>. Client Confidentiality and Protection of PII</w:t>
            </w:r>
          </w:p>
        </w:tc>
      </w:tr>
      <w:tr w:rsidR="00C51F56" w:rsidRPr="002910DD" w14:paraId="26B04700" w14:textId="77777777" w:rsidTr="00BB7376">
        <w:trPr>
          <w:trHeight w:val="360"/>
          <w:jc w:val="center"/>
        </w:trPr>
        <w:tc>
          <w:tcPr>
            <w:tcW w:w="10502" w:type="dxa"/>
            <w:shd w:val="clear" w:color="auto" w:fill="auto"/>
            <w:vAlign w:val="center"/>
          </w:tcPr>
          <w:p w14:paraId="4225295A" w14:textId="601DE8D3" w:rsidR="00C51F56" w:rsidRPr="001C68B4" w:rsidRDefault="00955415" w:rsidP="00955415">
            <w:pPr>
              <w:keepNext/>
              <w:keepLines/>
              <w:rPr>
                <w:b/>
              </w:rPr>
            </w:pPr>
            <w:r>
              <w:t xml:space="preserve">How does Subgrantee ensure client confidentiality </w:t>
            </w:r>
            <w:r>
              <w:rPr>
                <w:i/>
              </w:rPr>
              <w:t>(you can attach a copy of your agency’s client confidentiatily procedures in lieu of narrative)?</w:t>
            </w:r>
          </w:p>
        </w:tc>
      </w:tr>
      <w:tr w:rsidR="00C51F56" w:rsidRPr="002910DD" w14:paraId="5273B9B6" w14:textId="77777777" w:rsidTr="00BB7376">
        <w:trPr>
          <w:trHeight w:val="720"/>
          <w:jc w:val="center"/>
        </w:trPr>
        <w:tc>
          <w:tcPr>
            <w:tcW w:w="10502" w:type="dxa"/>
          </w:tcPr>
          <w:p w14:paraId="53A094A7" w14:textId="77777777" w:rsidR="00C51F56" w:rsidRPr="002910DD" w:rsidRDefault="00C51F56" w:rsidP="00BB7376">
            <w:pPr>
              <w:keepNext/>
              <w:keepLines/>
            </w:pPr>
          </w:p>
        </w:tc>
      </w:tr>
    </w:tbl>
    <w:p w14:paraId="59FA2360" w14:textId="77777777" w:rsidR="00C51F56" w:rsidRDefault="00C51F56" w:rsidP="009A7D9E">
      <w:pPr>
        <w:spacing w:before="0" w:after="0"/>
      </w:pPr>
    </w:p>
    <w:tbl>
      <w:tblPr>
        <w:tblStyle w:val="TableGrid"/>
        <w:tblpPr w:leftFromText="180" w:rightFromText="180" w:vertAnchor="text" w:tblpY="-45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D0556" w:rsidRPr="002910DD" w14:paraId="51F907AF" w14:textId="77777777" w:rsidTr="00187FB0">
        <w:trPr>
          <w:trHeight w:val="360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7FD964B2" w14:textId="14DDD58B" w:rsidR="00ED0556" w:rsidRPr="002910DD" w:rsidRDefault="00C51F56" w:rsidP="00FE00A4">
            <w:pPr>
              <w:pStyle w:val="Heading1"/>
              <w:outlineLvl w:val="0"/>
            </w:pPr>
            <w:r>
              <w:t>1</w:t>
            </w:r>
            <w:r w:rsidR="001B2807">
              <w:t>5</w:t>
            </w:r>
            <w:r w:rsidR="0095454C">
              <w:t>.  P</w:t>
            </w:r>
            <w:r w:rsidR="00ED0556" w:rsidRPr="002910DD">
              <w:t>olicy Changes</w:t>
            </w:r>
          </w:p>
        </w:tc>
      </w:tr>
      <w:tr w:rsidR="00ED0556" w:rsidRPr="002910DD" w14:paraId="36A984F9" w14:textId="77777777" w:rsidTr="00187FB0">
        <w:trPr>
          <w:trHeight w:val="360"/>
        </w:trPr>
        <w:tc>
          <w:tcPr>
            <w:tcW w:w="10800" w:type="dxa"/>
            <w:shd w:val="clear" w:color="auto" w:fill="auto"/>
            <w:vAlign w:val="center"/>
          </w:tcPr>
          <w:p w14:paraId="59A8AAB3" w14:textId="715C6538" w:rsidR="00ED0556" w:rsidRPr="008417CC" w:rsidRDefault="00ED0556" w:rsidP="00B10960">
            <w:r w:rsidRPr="002910DD">
              <w:t xml:space="preserve">Describe all significant changes in </w:t>
            </w:r>
            <w:r>
              <w:t xml:space="preserve">Subgrantee’s </w:t>
            </w:r>
            <w:r w:rsidRPr="002910DD">
              <w:t xml:space="preserve">policies, procedures and new initiatives since the last WAP Work Plan submission.  Provide copies of policy and procedure changes. </w:t>
            </w:r>
            <w:r w:rsidR="008417CC">
              <w:rPr>
                <w:b/>
              </w:rPr>
              <w:t xml:space="preserve">(Attachment </w:t>
            </w:r>
            <w:r w:rsidR="00B10960">
              <w:rPr>
                <w:b/>
              </w:rPr>
              <w:t>E</w:t>
            </w:r>
            <w:r w:rsidR="008417CC">
              <w:rPr>
                <w:b/>
              </w:rPr>
              <w:t>)</w:t>
            </w:r>
          </w:p>
        </w:tc>
      </w:tr>
      <w:tr w:rsidR="00ED0556" w:rsidRPr="002910DD" w14:paraId="787C84EC" w14:textId="77777777" w:rsidTr="00187FB0">
        <w:trPr>
          <w:trHeight w:val="720"/>
        </w:trPr>
        <w:tc>
          <w:tcPr>
            <w:tcW w:w="10800" w:type="dxa"/>
          </w:tcPr>
          <w:p w14:paraId="205F062C" w14:textId="77777777" w:rsidR="00ED0556" w:rsidRPr="002910DD" w:rsidRDefault="00ED0556" w:rsidP="006D6A63"/>
        </w:tc>
      </w:tr>
    </w:tbl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800"/>
      </w:tblGrid>
      <w:tr w:rsidR="00C51F56" w:rsidRPr="002910DD" w14:paraId="5B1DDFFE" w14:textId="77777777" w:rsidTr="00BB7376">
        <w:trPr>
          <w:trHeight w:val="360"/>
          <w:jc w:val="center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7FE04E04" w14:textId="0A01D2A4" w:rsidR="00C51F56" w:rsidRPr="002910DD" w:rsidRDefault="00C51F56" w:rsidP="00FE00A4">
            <w:pPr>
              <w:pStyle w:val="Heading1"/>
              <w:outlineLvl w:val="0"/>
            </w:pPr>
            <w:r>
              <w:t>1</w:t>
            </w:r>
            <w:r w:rsidR="001B2807">
              <w:t>6</w:t>
            </w:r>
            <w:r>
              <w:t>.  I</w:t>
            </w:r>
            <w:r w:rsidRPr="002910DD">
              <w:t>nsurance</w:t>
            </w:r>
          </w:p>
        </w:tc>
      </w:tr>
      <w:tr w:rsidR="00C51F56" w:rsidRPr="002910DD" w14:paraId="09260C60" w14:textId="77777777" w:rsidTr="00BB7376">
        <w:trPr>
          <w:trHeight w:val="360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24270CE2" w14:textId="145A2D8A" w:rsidR="00C51F56" w:rsidRPr="008417CC" w:rsidRDefault="00C51F56" w:rsidP="00B10960">
            <w:r w:rsidRPr="002910DD">
              <w:t>Pr</w:t>
            </w:r>
            <w:r>
              <w:t>ovide insurance binders for POI and liability insurance</w:t>
            </w:r>
            <w:r w:rsidRPr="002910DD">
              <w:t xml:space="preserve">.  </w:t>
            </w:r>
            <w:r w:rsidR="008417CC">
              <w:rPr>
                <w:b/>
              </w:rPr>
              <w:t xml:space="preserve">(Attachment </w:t>
            </w:r>
            <w:r w:rsidR="00B10960">
              <w:rPr>
                <w:b/>
              </w:rPr>
              <w:t>F</w:t>
            </w:r>
            <w:r w:rsidR="008417CC">
              <w:rPr>
                <w:b/>
              </w:rPr>
              <w:t>)</w:t>
            </w:r>
          </w:p>
        </w:tc>
      </w:tr>
    </w:tbl>
    <w:p w14:paraId="75DF0272" w14:textId="77777777" w:rsidR="00C51F56" w:rsidRDefault="00C51F56" w:rsidP="009A7D9E">
      <w:pPr>
        <w:spacing w:before="0" w:after="0"/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6B7780" w:rsidRPr="002910DD" w14:paraId="47AA9E05" w14:textId="77777777" w:rsidTr="006D6A63">
        <w:trPr>
          <w:trHeight w:val="360"/>
          <w:jc w:val="center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0BAEB035" w14:textId="6F28B395" w:rsidR="006B7780" w:rsidRPr="002910DD" w:rsidRDefault="00C51F56" w:rsidP="00FE00A4">
            <w:pPr>
              <w:pStyle w:val="Heading1"/>
              <w:outlineLvl w:val="0"/>
            </w:pPr>
            <w:r>
              <w:t>1</w:t>
            </w:r>
            <w:r w:rsidR="001B2807">
              <w:t>7</w:t>
            </w:r>
            <w:r w:rsidR="0095454C">
              <w:t>.  E</w:t>
            </w:r>
            <w:r w:rsidR="006B7780" w:rsidRPr="002910DD">
              <w:t xml:space="preserve">quipment </w:t>
            </w:r>
            <w:r w:rsidR="00C26D24" w:rsidRPr="002910DD">
              <w:t>Purchases</w:t>
            </w:r>
          </w:p>
        </w:tc>
      </w:tr>
      <w:tr w:rsidR="006B7780" w:rsidRPr="002910DD" w14:paraId="1331AD25" w14:textId="77777777" w:rsidTr="006D6A63">
        <w:trPr>
          <w:trHeight w:val="360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777D0B91" w14:textId="61C2C162" w:rsidR="006B7780" w:rsidRPr="002910DD" w:rsidRDefault="006B7780" w:rsidP="009A7D9E">
            <w:r w:rsidRPr="002910DD">
              <w:t xml:space="preserve">Identify the equipment and/or supplies the </w:t>
            </w:r>
            <w:r w:rsidR="00552429">
              <w:t>Subgrantee</w:t>
            </w:r>
            <w:r w:rsidRPr="002910DD">
              <w:t xml:space="preserve"> intends to purchase with federal funds during the plan year on </w:t>
            </w:r>
            <w:r w:rsidR="009A7D9E">
              <w:t xml:space="preserve">MaineHousing’s </w:t>
            </w:r>
            <w:r w:rsidR="00552429" w:rsidRPr="00B10960">
              <w:rPr>
                <w:i/>
              </w:rPr>
              <w:t>Subgrantee</w:t>
            </w:r>
            <w:r w:rsidRPr="00B10960">
              <w:rPr>
                <w:i/>
              </w:rPr>
              <w:t xml:space="preserve"> Equipment</w:t>
            </w:r>
            <w:r w:rsidR="009A7D9E" w:rsidRPr="00B10960">
              <w:rPr>
                <w:i/>
              </w:rPr>
              <w:t xml:space="preserve"> Request </w:t>
            </w:r>
            <w:r w:rsidR="009A7D9E" w:rsidRPr="009A7D9E">
              <w:t>form</w:t>
            </w:r>
            <w:r w:rsidR="009A7D9E">
              <w:rPr>
                <w:i/>
              </w:rPr>
              <w:t>.</w:t>
            </w:r>
            <w:r w:rsidR="001F3497">
              <w:t xml:space="preserve">  </w:t>
            </w:r>
            <w:r w:rsidR="003C02EA">
              <w:rPr>
                <w:b/>
              </w:rPr>
              <w:t xml:space="preserve">(Attachment </w:t>
            </w:r>
            <w:r w:rsidR="00B10960">
              <w:rPr>
                <w:b/>
              </w:rPr>
              <w:t>G</w:t>
            </w:r>
            <w:r w:rsidR="003C02EA">
              <w:rPr>
                <w:b/>
              </w:rPr>
              <w:t>)</w:t>
            </w:r>
          </w:p>
        </w:tc>
      </w:tr>
    </w:tbl>
    <w:p w14:paraId="773A29FD" w14:textId="77777777" w:rsidR="006B7780" w:rsidRPr="002910DD" w:rsidRDefault="006B7780" w:rsidP="009A7D9E">
      <w:pPr>
        <w:spacing w:before="0" w:after="0"/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6B7780" w:rsidRPr="002910DD" w14:paraId="2ED3E1F0" w14:textId="77777777" w:rsidTr="003D35EE">
        <w:trPr>
          <w:trHeight w:val="360"/>
          <w:jc w:val="center"/>
        </w:trPr>
        <w:tc>
          <w:tcPr>
            <w:tcW w:w="10502" w:type="dxa"/>
            <w:shd w:val="clear" w:color="auto" w:fill="E2EFD9" w:themeFill="accent6" w:themeFillTint="33"/>
            <w:vAlign w:val="center"/>
          </w:tcPr>
          <w:p w14:paraId="0D69CC6B" w14:textId="47B6ED32" w:rsidR="006B7780" w:rsidRPr="002910DD" w:rsidRDefault="00C51F56" w:rsidP="00FE00A4">
            <w:pPr>
              <w:pStyle w:val="Heading1"/>
              <w:outlineLvl w:val="0"/>
            </w:pPr>
            <w:r>
              <w:t>1</w:t>
            </w:r>
            <w:r w:rsidR="001B2807">
              <w:t>8</w:t>
            </w:r>
            <w:r w:rsidR="0095454C">
              <w:t>.  E</w:t>
            </w:r>
            <w:r w:rsidR="006B7780" w:rsidRPr="002910DD">
              <w:t xml:space="preserve">quipment Maintenance </w:t>
            </w:r>
          </w:p>
        </w:tc>
      </w:tr>
      <w:tr w:rsidR="006B7780" w:rsidRPr="002910DD" w14:paraId="4B7F11C2" w14:textId="77777777" w:rsidTr="003D35EE">
        <w:trPr>
          <w:trHeight w:val="360"/>
          <w:jc w:val="center"/>
        </w:trPr>
        <w:tc>
          <w:tcPr>
            <w:tcW w:w="10502" w:type="dxa"/>
            <w:shd w:val="clear" w:color="auto" w:fill="auto"/>
            <w:vAlign w:val="center"/>
          </w:tcPr>
          <w:p w14:paraId="118F8F74" w14:textId="5897E882" w:rsidR="006B7780" w:rsidRPr="002910DD" w:rsidRDefault="006B7780" w:rsidP="006D6A63">
            <w:r w:rsidRPr="002910DD">
              <w:t xml:space="preserve">What is </w:t>
            </w:r>
            <w:r w:rsidR="001F3497">
              <w:t>Subgrantee</w:t>
            </w:r>
            <w:r w:rsidRPr="002910DD">
              <w:t>’s process</w:t>
            </w:r>
            <w:r w:rsidR="00D34B1B" w:rsidRPr="002910DD">
              <w:t>/procedure</w:t>
            </w:r>
            <w:r w:rsidRPr="002910DD">
              <w:t xml:space="preserve"> fo</w:t>
            </w:r>
            <w:r w:rsidR="00A41C0C" w:rsidRPr="002910DD">
              <w:t xml:space="preserve">r maintaining equipment (calibrations, </w:t>
            </w:r>
            <w:r w:rsidR="00552429">
              <w:t xml:space="preserve">frequency, tracking, </w:t>
            </w:r>
            <w:r w:rsidR="00A41C0C" w:rsidRPr="002910DD">
              <w:t>etc.)</w:t>
            </w:r>
          </w:p>
        </w:tc>
      </w:tr>
      <w:tr w:rsidR="00ED0556" w:rsidRPr="002910DD" w14:paraId="707D9FE9" w14:textId="77777777" w:rsidTr="006D6A63">
        <w:trPr>
          <w:trHeight w:val="720"/>
          <w:jc w:val="center"/>
        </w:trPr>
        <w:tc>
          <w:tcPr>
            <w:tcW w:w="10502" w:type="dxa"/>
            <w:shd w:val="clear" w:color="auto" w:fill="auto"/>
            <w:vAlign w:val="center"/>
          </w:tcPr>
          <w:p w14:paraId="4D8B3503" w14:textId="77777777" w:rsidR="00ED0556" w:rsidRPr="002910DD" w:rsidRDefault="00ED0556" w:rsidP="006D6A63"/>
        </w:tc>
      </w:tr>
    </w:tbl>
    <w:p w14:paraId="64D9174A" w14:textId="77777777" w:rsidR="006B7780" w:rsidRPr="002910DD" w:rsidRDefault="006B7780" w:rsidP="009A7D9E">
      <w:pPr>
        <w:spacing w:before="0" w:after="0"/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26D24" w:rsidRPr="002910DD" w14:paraId="3AE88CDC" w14:textId="77777777" w:rsidTr="001F3497">
        <w:trPr>
          <w:trHeight w:val="360"/>
          <w:jc w:val="center"/>
        </w:trPr>
        <w:tc>
          <w:tcPr>
            <w:tcW w:w="10800" w:type="dxa"/>
            <w:shd w:val="clear" w:color="auto" w:fill="E2EFD9" w:themeFill="accent6" w:themeFillTint="33"/>
            <w:vAlign w:val="center"/>
          </w:tcPr>
          <w:p w14:paraId="22FC0F6D" w14:textId="0D91EF09" w:rsidR="00C26D24" w:rsidRPr="002910DD" w:rsidRDefault="00C51F56" w:rsidP="00FE00A4">
            <w:pPr>
              <w:pStyle w:val="Heading1"/>
              <w:outlineLvl w:val="0"/>
            </w:pPr>
            <w:r>
              <w:t>1</w:t>
            </w:r>
            <w:r w:rsidR="001B2807">
              <w:t>9</w:t>
            </w:r>
            <w:r w:rsidR="0095454C">
              <w:t>.  I</w:t>
            </w:r>
            <w:r w:rsidR="00C26D24" w:rsidRPr="002910DD">
              <w:t>nventory</w:t>
            </w:r>
          </w:p>
        </w:tc>
      </w:tr>
      <w:tr w:rsidR="00C26D24" w:rsidRPr="002910DD" w14:paraId="28C1A64D" w14:textId="77777777" w:rsidTr="001F3497">
        <w:trPr>
          <w:trHeight w:val="360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0670999C" w14:textId="012DB86F" w:rsidR="00C26D24" w:rsidRPr="008417CC" w:rsidRDefault="00C26D24" w:rsidP="00B10960">
            <w:pPr>
              <w:keepNext/>
              <w:keepLines/>
            </w:pPr>
            <w:r w:rsidRPr="002910DD">
              <w:t xml:space="preserve">What is the </w:t>
            </w:r>
            <w:r w:rsidR="001F3497">
              <w:t>Subgrantee</w:t>
            </w:r>
            <w:r w:rsidRPr="002910DD">
              <w:t xml:space="preserve">’s process for maintaining a </w:t>
            </w:r>
            <w:r w:rsidR="00D34B1B" w:rsidRPr="002910DD">
              <w:t>“</w:t>
            </w:r>
            <w:r w:rsidRPr="002910DD">
              <w:t>record of inventory</w:t>
            </w:r>
            <w:r w:rsidR="00D34B1B" w:rsidRPr="002910DD">
              <w:t>”</w:t>
            </w:r>
            <w:r w:rsidRPr="002910DD">
              <w:t xml:space="preserve"> for all equipment, tools and vehicles purchased with federal funds</w:t>
            </w:r>
            <w:r w:rsidR="001F3497">
              <w:t xml:space="preserve"> that have a life expectancy of more than one year</w:t>
            </w:r>
            <w:r w:rsidRPr="002910DD">
              <w:t>.</w:t>
            </w:r>
            <w:r w:rsidR="00237365" w:rsidRPr="002910DD">
              <w:t xml:space="preserve">  Attach a copy of the agency’s current record of inventory</w:t>
            </w:r>
            <w:r w:rsidR="001F3497">
              <w:t xml:space="preserve">.  </w:t>
            </w:r>
            <w:r w:rsidR="008417CC">
              <w:rPr>
                <w:b/>
              </w:rPr>
              <w:t xml:space="preserve">(Attachment </w:t>
            </w:r>
            <w:r w:rsidR="00B10960">
              <w:rPr>
                <w:b/>
              </w:rPr>
              <w:t>H)</w:t>
            </w:r>
          </w:p>
        </w:tc>
      </w:tr>
    </w:tbl>
    <w:p w14:paraId="0D3402CF" w14:textId="6D9AE1D9" w:rsidR="00B25F41" w:rsidRDefault="00B25F41" w:rsidP="00C51F56">
      <w:pPr>
        <w:spacing w:before="0" w:after="0"/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25F41" w:rsidRPr="002910DD" w14:paraId="4082E6E3" w14:textId="77777777" w:rsidTr="007C177A">
        <w:trPr>
          <w:trHeight w:val="360"/>
          <w:jc w:val="center"/>
        </w:trPr>
        <w:tc>
          <w:tcPr>
            <w:tcW w:w="10502" w:type="dxa"/>
            <w:shd w:val="clear" w:color="auto" w:fill="E2EFD9" w:themeFill="accent6" w:themeFillTint="33"/>
            <w:vAlign w:val="center"/>
          </w:tcPr>
          <w:p w14:paraId="5B4350E2" w14:textId="76C4FD7A" w:rsidR="00B25F41" w:rsidRPr="002910DD" w:rsidRDefault="001B2807" w:rsidP="00FE00A4">
            <w:pPr>
              <w:pStyle w:val="Heading1"/>
              <w:keepNext/>
              <w:keepLines/>
              <w:outlineLvl w:val="0"/>
            </w:pPr>
            <w:r>
              <w:t>20</w:t>
            </w:r>
            <w:r w:rsidR="00C51F56">
              <w:t xml:space="preserve">. </w:t>
            </w:r>
            <w:r>
              <w:t>Success Stories from</w:t>
            </w:r>
            <w:r w:rsidR="00B25F41">
              <w:t xml:space="preserve"> 2021</w:t>
            </w:r>
          </w:p>
        </w:tc>
      </w:tr>
      <w:tr w:rsidR="00B25F41" w:rsidRPr="002910DD" w14:paraId="53884AF1" w14:textId="77777777" w:rsidTr="007C177A">
        <w:trPr>
          <w:trHeight w:val="360"/>
          <w:jc w:val="center"/>
        </w:trPr>
        <w:tc>
          <w:tcPr>
            <w:tcW w:w="10502" w:type="dxa"/>
            <w:shd w:val="clear" w:color="auto" w:fill="auto"/>
            <w:vAlign w:val="center"/>
          </w:tcPr>
          <w:p w14:paraId="78E064CF" w14:textId="32229583" w:rsidR="00B25F41" w:rsidRPr="001C68B4" w:rsidRDefault="00B25F41" w:rsidP="00B10960">
            <w:pPr>
              <w:keepNext/>
              <w:keepLines/>
              <w:rPr>
                <w:b/>
              </w:rPr>
            </w:pPr>
            <w:r>
              <w:t xml:space="preserve">Please submit at least one of your agency’s </w:t>
            </w:r>
            <w:r w:rsidR="00B10960">
              <w:t xml:space="preserve">WAP </w:t>
            </w:r>
            <w:r>
              <w:t>success stories from 202</w:t>
            </w:r>
            <w:r w:rsidR="003C02EA">
              <w:t>1</w:t>
            </w:r>
            <w:r>
              <w:t xml:space="preserve">. The success story could include (but is not limited to): stories about families that you have helped and how weatherization made a difference in their lives; leveraging successes; or a difficult project that required innovative technical or health and </w:t>
            </w:r>
            <w:r w:rsidR="004A658C">
              <w:t>s</w:t>
            </w:r>
            <w:r>
              <w:t>afety measures. Describe the desired outcome and results. Quotes from homeowners or participants are important. You may also submit letters of t</w:t>
            </w:r>
            <w:r w:rsidR="004A658C">
              <w:t>h</w:t>
            </w:r>
            <w:r>
              <w:t>anks from commendation as success stories.</w:t>
            </w:r>
          </w:p>
        </w:tc>
      </w:tr>
      <w:tr w:rsidR="00B25F41" w:rsidRPr="002910DD" w14:paraId="29ACB497" w14:textId="77777777" w:rsidTr="007C177A">
        <w:trPr>
          <w:trHeight w:val="720"/>
          <w:jc w:val="center"/>
        </w:trPr>
        <w:tc>
          <w:tcPr>
            <w:tcW w:w="10502" w:type="dxa"/>
          </w:tcPr>
          <w:p w14:paraId="2EAFCF33" w14:textId="77777777" w:rsidR="00B25F41" w:rsidRPr="002910DD" w:rsidRDefault="00B25F41" w:rsidP="007C177A">
            <w:pPr>
              <w:keepNext/>
              <w:keepLines/>
            </w:pPr>
          </w:p>
        </w:tc>
      </w:tr>
    </w:tbl>
    <w:p w14:paraId="5A932C2E" w14:textId="2044B22F" w:rsidR="00A845E8" w:rsidRDefault="00A845E8" w:rsidP="00C51F56">
      <w:pPr>
        <w:spacing w:before="0" w:after="0"/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51F56" w:rsidRPr="002910DD" w14:paraId="51BADC90" w14:textId="77777777" w:rsidTr="00BB7376">
        <w:trPr>
          <w:trHeight w:val="360"/>
          <w:jc w:val="center"/>
        </w:trPr>
        <w:tc>
          <w:tcPr>
            <w:tcW w:w="10502" w:type="dxa"/>
            <w:shd w:val="clear" w:color="auto" w:fill="E2EFD9" w:themeFill="accent6" w:themeFillTint="33"/>
            <w:vAlign w:val="center"/>
          </w:tcPr>
          <w:p w14:paraId="39DC411E" w14:textId="4E198954" w:rsidR="00C51F56" w:rsidRPr="002910DD" w:rsidRDefault="001B2807" w:rsidP="00FE00A4">
            <w:pPr>
              <w:pStyle w:val="Heading1"/>
              <w:keepNext/>
              <w:keepLines/>
              <w:outlineLvl w:val="0"/>
            </w:pPr>
            <w:r>
              <w:t>21</w:t>
            </w:r>
            <w:r w:rsidR="00C51F56">
              <w:t xml:space="preserve">.  </w:t>
            </w:r>
            <w:r w:rsidR="00C51F56" w:rsidRPr="002910DD">
              <w:t>Other Information</w:t>
            </w:r>
          </w:p>
        </w:tc>
      </w:tr>
      <w:tr w:rsidR="00C51F56" w:rsidRPr="002910DD" w14:paraId="55A40C01" w14:textId="77777777" w:rsidTr="00BB7376">
        <w:trPr>
          <w:trHeight w:val="360"/>
          <w:jc w:val="center"/>
        </w:trPr>
        <w:tc>
          <w:tcPr>
            <w:tcW w:w="10502" w:type="dxa"/>
            <w:shd w:val="clear" w:color="auto" w:fill="auto"/>
            <w:vAlign w:val="center"/>
          </w:tcPr>
          <w:p w14:paraId="08AC50CA" w14:textId="7635A50C" w:rsidR="00C51F56" w:rsidRPr="001C68B4" w:rsidRDefault="00C51F56" w:rsidP="00B10960">
            <w:pPr>
              <w:keepNext/>
              <w:keepLines/>
              <w:rPr>
                <w:b/>
              </w:rPr>
            </w:pPr>
            <w:r w:rsidRPr="001C68B4">
              <w:t xml:space="preserve">Provide any other information relevant to the administration and delivery of </w:t>
            </w:r>
            <w:r w:rsidR="00B10960">
              <w:t>WAP</w:t>
            </w:r>
            <w:r w:rsidRPr="001C68B4">
              <w:t>.</w:t>
            </w:r>
          </w:p>
        </w:tc>
      </w:tr>
      <w:tr w:rsidR="00C51F56" w:rsidRPr="002910DD" w14:paraId="2DDB4D04" w14:textId="77777777" w:rsidTr="00BB7376">
        <w:trPr>
          <w:trHeight w:val="720"/>
          <w:jc w:val="center"/>
        </w:trPr>
        <w:tc>
          <w:tcPr>
            <w:tcW w:w="10502" w:type="dxa"/>
          </w:tcPr>
          <w:p w14:paraId="116D6C2A" w14:textId="77777777" w:rsidR="00C51F56" w:rsidRPr="002910DD" w:rsidRDefault="00C51F56" w:rsidP="00BB7376">
            <w:pPr>
              <w:keepNext/>
              <w:keepLines/>
            </w:pPr>
          </w:p>
        </w:tc>
      </w:tr>
    </w:tbl>
    <w:p w14:paraId="35775953" w14:textId="77777777" w:rsidR="00B25F41" w:rsidRPr="002910DD" w:rsidRDefault="00B25F41" w:rsidP="00FE00A4">
      <w:pPr>
        <w:spacing w:before="0" w:after="0"/>
      </w:pPr>
    </w:p>
    <w:tbl>
      <w:tblPr>
        <w:tblStyle w:val="TableGrid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4140"/>
        <w:gridCol w:w="1890"/>
        <w:gridCol w:w="2163"/>
        <w:gridCol w:w="270"/>
      </w:tblGrid>
      <w:tr w:rsidR="00D76B96" w:rsidRPr="002910DD" w14:paraId="02B7D2B6" w14:textId="77777777" w:rsidTr="002F456E">
        <w:trPr>
          <w:trHeight w:hRule="exact" w:val="360"/>
        </w:trPr>
        <w:tc>
          <w:tcPr>
            <w:tcW w:w="1053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A445F0D" w14:textId="77777777" w:rsidR="00D76B96" w:rsidRPr="006D6A63" w:rsidRDefault="00D76B96" w:rsidP="002F456E">
            <w:pPr>
              <w:spacing w:before="0" w:after="0"/>
              <w:rPr>
                <w:b/>
                <w:sz w:val="24"/>
              </w:rPr>
            </w:pPr>
            <w:r w:rsidRPr="002F456E">
              <w:rPr>
                <w:b/>
                <w:sz w:val="22"/>
              </w:rPr>
              <w:t>Agency Submission</w:t>
            </w:r>
          </w:p>
        </w:tc>
        <w:tc>
          <w:tcPr>
            <w:tcW w:w="270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BFF7853" w14:textId="77777777" w:rsidR="00D76B96" w:rsidRPr="002910DD" w:rsidRDefault="00D76B96" w:rsidP="006D6A63">
            <w:pPr>
              <w:spacing w:after="0"/>
            </w:pPr>
          </w:p>
        </w:tc>
      </w:tr>
      <w:tr w:rsidR="00D76B96" w:rsidRPr="002910DD" w14:paraId="769DF2AE" w14:textId="77777777" w:rsidTr="006D6A63">
        <w:trPr>
          <w:trHeight w:val="360"/>
        </w:trPr>
        <w:tc>
          <w:tcPr>
            <w:tcW w:w="233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11B3953" w14:textId="77777777" w:rsidR="00D76B96" w:rsidRPr="002910DD" w:rsidRDefault="00D76B96" w:rsidP="006D6A63">
            <w:pPr>
              <w:spacing w:after="0"/>
            </w:pPr>
            <w:r w:rsidRPr="002910DD">
              <w:t>Completed by (Print):</w:t>
            </w: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73219C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189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7DD4334" w14:textId="77777777" w:rsidR="00D76B96" w:rsidRPr="002910DD" w:rsidRDefault="00D76B96" w:rsidP="006D6A63">
            <w:pPr>
              <w:spacing w:after="0"/>
            </w:pPr>
            <w:r w:rsidRPr="002910DD">
              <w:t>Date Completed:</w:t>
            </w:r>
          </w:p>
        </w:tc>
        <w:tc>
          <w:tcPr>
            <w:tcW w:w="21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E67DA2A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270" w:type="dxa"/>
            <w:tcBorders>
              <w:top w:val="single" w:sz="2" w:space="0" w:color="auto"/>
            </w:tcBorders>
          </w:tcPr>
          <w:p w14:paraId="1129408C" w14:textId="77777777" w:rsidR="00D76B96" w:rsidRPr="002910DD" w:rsidRDefault="00D76B96" w:rsidP="006D6A63">
            <w:pPr>
              <w:spacing w:after="0"/>
            </w:pPr>
          </w:p>
        </w:tc>
      </w:tr>
      <w:tr w:rsidR="00D76B96" w:rsidRPr="002910DD" w14:paraId="5046B79A" w14:textId="77777777" w:rsidTr="006D6A63">
        <w:trPr>
          <w:trHeight w:val="360"/>
        </w:trPr>
        <w:tc>
          <w:tcPr>
            <w:tcW w:w="2337" w:type="dxa"/>
            <w:shd w:val="clear" w:color="auto" w:fill="auto"/>
            <w:vAlign w:val="bottom"/>
          </w:tcPr>
          <w:p w14:paraId="2473E36A" w14:textId="77777777" w:rsidR="00D76B96" w:rsidRPr="002910DD" w:rsidRDefault="00D76B96" w:rsidP="006D6A63">
            <w:pPr>
              <w:spacing w:after="0"/>
            </w:pPr>
            <w:r w:rsidRPr="002910DD">
              <w:t>Signature:</w:t>
            </w: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E82A0F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41A23F0A" w14:textId="77777777" w:rsidR="00D76B96" w:rsidRPr="002910DD" w:rsidRDefault="00D76B96" w:rsidP="006D6A63">
            <w:pPr>
              <w:spacing w:after="0"/>
            </w:pPr>
            <w:r w:rsidRPr="002910DD">
              <w:t>Date Submitted:</w:t>
            </w:r>
          </w:p>
        </w:tc>
        <w:tc>
          <w:tcPr>
            <w:tcW w:w="21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594850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270" w:type="dxa"/>
          </w:tcPr>
          <w:p w14:paraId="6437EB32" w14:textId="77777777" w:rsidR="00D76B96" w:rsidRPr="002910DD" w:rsidRDefault="00D76B96" w:rsidP="006D6A63">
            <w:pPr>
              <w:spacing w:after="0"/>
            </w:pPr>
          </w:p>
        </w:tc>
      </w:tr>
      <w:tr w:rsidR="00D76B96" w:rsidRPr="002910DD" w14:paraId="2F96B895" w14:textId="77777777" w:rsidTr="002F456E">
        <w:trPr>
          <w:trHeight w:hRule="exact" w:val="216"/>
        </w:trPr>
        <w:tc>
          <w:tcPr>
            <w:tcW w:w="2337" w:type="dxa"/>
            <w:shd w:val="clear" w:color="auto" w:fill="auto"/>
            <w:vAlign w:val="bottom"/>
          </w:tcPr>
          <w:p w14:paraId="43FE7200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6848CA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22BD183E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21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57D877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270" w:type="dxa"/>
          </w:tcPr>
          <w:p w14:paraId="04183430" w14:textId="77777777" w:rsidR="00D76B96" w:rsidRPr="002910DD" w:rsidRDefault="00D76B96" w:rsidP="006D6A63">
            <w:pPr>
              <w:spacing w:after="0"/>
            </w:pPr>
          </w:p>
        </w:tc>
      </w:tr>
    </w:tbl>
    <w:p w14:paraId="4433E6DF" w14:textId="77777777" w:rsidR="00D76B96" w:rsidRPr="002910DD" w:rsidRDefault="00D76B96" w:rsidP="00FE00A4">
      <w:pPr>
        <w:spacing w:before="0" w:after="0"/>
      </w:pPr>
    </w:p>
    <w:tbl>
      <w:tblPr>
        <w:tblStyle w:val="TableGrid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137"/>
        <w:gridCol w:w="1890"/>
        <w:gridCol w:w="2163"/>
        <w:gridCol w:w="270"/>
      </w:tblGrid>
      <w:tr w:rsidR="00D76B96" w:rsidRPr="002910DD" w14:paraId="028D154D" w14:textId="77777777" w:rsidTr="002F456E">
        <w:trPr>
          <w:trHeight w:hRule="exact" w:val="360"/>
        </w:trPr>
        <w:tc>
          <w:tcPr>
            <w:tcW w:w="1053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2CE270" w14:textId="77777777" w:rsidR="00D76B96" w:rsidRPr="006D6A63" w:rsidRDefault="00D76B96" w:rsidP="002F456E">
            <w:pPr>
              <w:spacing w:before="0" w:after="0"/>
              <w:rPr>
                <w:b/>
              </w:rPr>
            </w:pPr>
            <w:r w:rsidRPr="002F456E">
              <w:rPr>
                <w:b/>
                <w:sz w:val="22"/>
              </w:rPr>
              <w:t>MaineHousing Approval</w:t>
            </w:r>
          </w:p>
        </w:tc>
        <w:tc>
          <w:tcPr>
            <w:tcW w:w="2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52F7ABF7" w14:textId="77777777" w:rsidR="00D76B96" w:rsidRPr="002910DD" w:rsidRDefault="00D76B96" w:rsidP="006D6A63"/>
        </w:tc>
      </w:tr>
      <w:tr w:rsidR="00D76B96" w:rsidRPr="002910DD" w14:paraId="25EC33BA" w14:textId="77777777" w:rsidTr="006D6A63">
        <w:trPr>
          <w:trHeight w:val="360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976D408" w14:textId="77777777" w:rsidR="00D76B96" w:rsidRPr="002910DD" w:rsidRDefault="00D76B96" w:rsidP="006D6A63">
            <w:pPr>
              <w:spacing w:after="0"/>
            </w:pPr>
            <w:r w:rsidRPr="002910DD">
              <w:t>Reviewed by (Print):</w:t>
            </w:r>
          </w:p>
        </w:tc>
        <w:tc>
          <w:tcPr>
            <w:tcW w:w="41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B1256D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189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CF5B45E" w14:textId="77777777" w:rsidR="00D76B96" w:rsidRPr="002910DD" w:rsidRDefault="00D76B96" w:rsidP="006D6A63">
            <w:pPr>
              <w:spacing w:after="0"/>
            </w:pPr>
            <w:r w:rsidRPr="002910DD">
              <w:t>Date Approved:</w:t>
            </w:r>
          </w:p>
        </w:tc>
        <w:tc>
          <w:tcPr>
            <w:tcW w:w="21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1557F6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270" w:type="dxa"/>
            <w:tcBorders>
              <w:top w:val="single" w:sz="2" w:space="0" w:color="auto"/>
            </w:tcBorders>
          </w:tcPr>
          <w:p w14:paraId="12DC3BBB" w14:textId="77777777" w:rsidR="00D76B96" w:rsidRPr="002910DD" w:rsidRDefault="00D76B96" w:rsidP="006D6A63">
            <w:pPr>
              <w:spacing w:after="0"/>
            </w:pPr>
          </w:p>
        </w:tc>
      </w:tr>
      <w:tr w:rsidR="00D76B96" w:rsidRPr="002910DD" w14:paraId="0482A1D4" w14:textId="77777777" w:rsidTr="006D6A63">
        <w:trPr>
          <w:trHeight w:val="360"/>
        </w:trPr>
        <w:tc>
          <w:tcPr>
            <w:tcW w:w="2340" w:type="dxa"/>
            <w:shd w:val="clear" w:color="auto" w:fill="auto"/>
            <w:vAlign w:val="bottom"/>
          </w:tcPr>
          <w:p w14:paraId="71892249" w14:textId="77777777" w:rsidR="00D76B96" w:rsidRPr="002910DD" w:rsidRDefault="00D76B96" w:rsidP="006D6A63">
            <w:pPr>
              <w:spacing w:after="0"/>
            </w:pPr>
            <w:r w:rsidRPr="002910DD">
              <w:t>Signature:</w:t>
            </w:r>
          </w:p>
        </w:tc>
        <w:tc>
          <w:tcPr>
            <w:tcW w:w="41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F541CE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3FEA5C45" w14:textId="77777777" w:rsidR="00D76B96" w:rsidRPr="002910DD" w:rsidRDefault="00D76B96" w:rsidP="006D6A63">
            <w:pPr>
              <w:spacing w:after="0"/>
            </w:pPr>
            <w:r w:rsidRPr="002910DD">
              <w:t>Confirm Sent:</w:t>
            </w:r>
          </w:p>
        </w:tc>
        <w:tc>
          <w:tcPr>
            <w:tcW w:w="21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E29424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270" w:type="dxa"/>
          </w:tcPr>
          <w:p w14:paraId="3B59F116" w14:textId="77777777" w:rsidR="00D76B96" w:rsidRPr="002910DD" w:rsidRDefault="00D76B96" w:rsidP="006D6A63">
            <w:pPr>
              <w:spacing w:after="0"/>
            </w:pPr>
          </w:p>
        </w:tc>
      </w:tr>
      <w:tr w:rsidR="00D76B96" w:rsidRPr="002910DD" w14:paraId="4F262BFC" w14:textId="77777777" w:rsidTr="002F456E">
        <w:trPr>
          <w:trHeight w:hRule="exact" w:val="216"/>
        </w:trPr>
        <w:tc>
          <w:tcPr>
            <w:tcW w:w="2340" w:type="dxa"/>
            <w:shd w:val="clear" w:color="auto" w:fill="auto"/>
            <w:vAlign w:val="bottom"/>
          </w:tcPr>
          <w:p w14:paraId="2286E469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41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F551EF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7D5503BB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21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7D08D5" w14:textId="77777777" w:rsidR="00D76B96" w:rsidRPr="002910DD" w:rsidRDefault="00D76B96" w:rsidP="006D6A63">
            <w:pPr>
              <w:spacing w:after="0"/>
            </w:pPr>
          </w:p>
        </w:tc>
        <w:tc>
          <w:tcPr>
            <w:tcW w:w="270" w:type="dxa"/>
          </w:tcPr>
          <w:p w14:paraId="74C89C6E" w14:textId="77777777" w:rsidR="00D76B96" w:rsidRPr="002910DD" w:rsidRDefault="00D76B96" w:rsidP="006D6A63">
            <w:pPr>
              <w:spacing w:after="0"/>
            </w:pPr>
          </w:p>
        </w:tc>
      </w:tr>
    </w:tbl>
    <w:p w14:paraId="06723E7D" w14:textId="77777777" w:rsidR="00FE2F03" w:rsidRPr="002910DD" w:rsidRDefault="00FE2F03" w:rsidP="006D6A63"/>
    <w:p w14:paraId="67D3F003" w14:textId="77777777" w:rsidR="004B26FD" w:rsidRPr="002910DD" w:rsidRDefault="004B26FD" w:rsidP="006D6A63"/>
    <w:p w14:paraId="48ABA28B" w14:textId="77777777" w:rsidR="004B26FD" w:rsidRPr="002910DD" w:rsidRDefault="004B26FD" w:rsidP="006D6A63"/>
    <w:sectPr w:rsidR="004B26FD" w:rsidRPr="002910DD" w:rsidSect="002910DD"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A5DB9" w14:textId="77777777" w:rsidR="00D57C9B" w:rsidRDefault="00D57C9B" w:rsidP="006D6A63">
      <w:r>
        <w:separator/>
      </w:r>
    </w:p>
  </w:endnote>
  <w:endnote w:type="continuationSeparator" w:id="0">
    <w:p w14:paraId="4CC237AB" w14:textId="77777777" w:rsidR="00D57C9B" w:rsidRDefault="00D57C9B" w:rsidP="006D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2E4A0" w14:textId="0C542E95" w:rsidR="00D76B96" w:rsidRPr="009A7D9E" w:rsidRDefault="00D76B96" w:rsidP="00842E1B">
    <w:pPr>
      <w:pStyle w:val="Footer"/>
      <w:tabs>
        <w:tab w:val="clear" w:pos="4680"/>
        <w:tab w:val="clear" w:pos="9360"/>
        <w:tab w:val="center" w:pos="5310"/>
        <w:tab w:val="right" w:pos="10800"/>
      </w:tabs>
      <w:rPr>
        <w:sz w:val="16"/>
      </w:rPr>
    </w:pPr>
    <w:r w:rsidRPr="009A7D9E">
      <w:rPr>
        <w:sz w:val="16"/>
      </w:rPr>
      <w:t>Prepared by MaineHousing</w:t>
    </w:r>
    <w:r w:rsidRPr="009A7D9E">
      <w:rPr>
        <w:sz w:val="16"/>
      </w:rPr>
      <w:tab/>
    </w:r>
    <w:r w:rsidR="002E5470" w:rsidRPr="009A7D9E">
      <w:rPr>
        <w:sz w:val="16"/>
      </w:rPr>
      <w:t xml:space="preserve">page </w:t>
    </w:r>
    <w:r w:rsidR="002E5470" w:rsidRPr="009A7D9E">
      <w:rPr>
        <w:noProof w:val="0"/>
        <w:sz w:val="16"/>
      </w:rPr>
      <w:fldChar w:fldCharType="begin"/>
    </w:r>
    <w:r w:rsidR="002E5470" w:rsidRPr="009A7D9E">
      <w:rPr>
        <w:sz w:val="16"/>
      </w:rPr>
      <w:instrText xml:space="preserve"> PAGE   \* MERGEFORMAT </w:instrText>
    </w:r>
    <w:r w:rsidR="002E5470" w:rsidRPr="009A7D9E">
      <w:rPr>
        <w:noProof w:val="0"/>
        <w:sz w:val="16"/>
      </w:rPr>
      <w:fldChar w:fldCharType="separate"/>
    </w:r>
    <w:r w:rsidR="00AA5A0B">
      <w:rPr>
        <w:sz w:val="16"/>
      </w:rPr>
      <w:t>4</w:t>
    </w:r>
    <w:r w:rsidR="002E5470" w:rsidRPr="009A7D9E">
      <w:rPr>
        <w:sz w:val="16"/>
      </w:rPr>
      <w:fldChar w:fldCharType="end"/>
    </w:r>
    <w:r w:rsidR="002E5470" w:rsidRPr="009A7D9E">
      <w:rPr>
        <w:sz w:val="16"/>
      </w:rPr>
      <w:t xml:space="preserve"> of </w:t>
    </w:r>
    <w:r w:rsidR="009A7D9E" w:rsidRPr="009A7D9E">
      <w:rPr>
        <w:sz w:val="16"/>
      </w:rPr>
      <w:fldChar w:fldCharType="begin"/>
    </w:r>
    <w:r w:rsidR="009A7D9E" w:rsidRPr="009A7D9E">
      <w:rPr>
        <w:sz w:val="16"/>
      </w:rPr>
      <w:instrText xml:space="preserve"> NUMPAGES   \* MERGEFORMAT </w:instrText>
    </w:r>
    <w:r w:rsidR="009A7D9E" w:rsidRPr="009A7D9E">
      <w:rPr>
        <w:sz w:val="16"/>
      </w:rPr>
      <w:fldChar w:fldCharType="separate"/>
    </w:r>
    <w:r w:rsidR="00AA5A0B">
      <w:rPr>
        <w:sz w:val="16"/>
      </w:rPr>
      <w:t>4</w:t>
    </w:r>
    <w:r w:rsidR="009A7D9E" w:rsidRPr="009A7D9E">
      <w:rPr>
        <w:sz w:val="16"/>
      </w:rPr>
      <w:fldChar w:fldCharType="end"/>
    </w:r>
    <w:r w:rsidRPr="009A7D9E">
      <w:rPr>
        <w:sz w:val="16"/>
      </w:rPr>
      <w:tab/>
    </w:r>
    <w:r w:rsidR="00ED0556" w:rsidRPr="009A7D9E">
      <w:rPr>
        <w:sz w:val="16"/>
      </w:rPr>
      <w:t>Subgrantee</w:t>
    </w:r>
    <w:r w:rsidRPr="009A7D9E">
      <w:rPr>
        <w:sz w:val="16"/>
      </w:rPr>
      <w:t xml:space="preserve"> </w:t>
    </w:r>
    <w:r w:rsidR="00ED0556" w:rsidRPr="009A7D9E">
      <w:rPr>
        <w:sz w:val="16"/>
      </w:rPr>
      <w:t xml:space="preserve">WAP </w:t>
    </w:r>
    <w:r w:rsidRPr="009A7D9E">
      <w:rPr>
        <w:sz w:val="16"/>
      </w:rPr>
      <w:t xml:space="preserve">Work Plan </w:t>
    </w:r>
    <w:r w:rsidR="00007872">
      <w:rPr>
        <w:sz w:val="16"/>
      </w:rPr>
      <w:t>0401202</w:t>
    </w:r>
    <w:r w:rsidR="00103229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16481" w14:textId="77777777" w:rsidR="00D57C9B" w:rsidRDefault="00D57C9B" w:rsidP="006D6A63">
      <w:r>
        <w:separator/>
      </w:r>
    </w:p>
  </w:footnote>
  <w:footnote w:type="continuationSeparator" w:id="0">
    <w:p w14:paraId="3F40E0BD" w14:textId="77777777" w:rsidR="00D57C9B" w:rsidRDefault="00D57C9B" w:rsidP="006D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F24"/>
    <w:multiLevelType w:val="hybridMultilevel"/>
    <w:tmpl w:val="483E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04360"/>
    <w:multiLevelType w:val="hybridMultilevel"/>
    <w:tmpl w:val="483E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3090"/>
    <w:multiLevelType w:val="hybridMultilevel"/>
    <w:tmpl w:val="483E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4654"/>
    <w:multiLevelType w:val="hybridMultilevel"/>
    <w:tmpl w:val="0B006FCA"/>
    <w:lvl w:ilvl="0" w:tplc="CC28B6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82D0D5B"/>
    <w:multiLevelType w:val="multilevel"/>
    <w:tmpl w:val="24E85ADA"/>
    <w:lvl w:ilvl="0">
      <w:start w:val="1"/>
      <w:numFmt w:val="upperLetter"/>
      <w:lvlText w:val="%1."/>
      <w:lvlJc w:val="left"/>
      <w:pPr>
        <w:ind w:left="720" w:hanging="72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2E74B5" w:themeColor="accent1" w:themeShade="BF"/>
        <w:sz w:val="28"/>
        <w:u w:val="none"/>
        <w:vertAlign w:val="baseline"/>
      </w:rPr>
    </w:lvl>
    <w:lvl w:ilvl="1">
      <w:start w:val="1"/>
      <w:numFmt w:val="decimal"/>
      <w:pStyle w:val="Heading3"/>
      <w:lvlText w:val="%2."/>
      <w:lvlJc w:val="left"/>
      <w:pPr>
        <w:ind w:left="1440" w:hanging="720"/>
      </w:pPr>
      <w:rPr>
        <w:rFonts w:ascii="Garamond" w:hAnsi="Garamond" w:cs="Arial" w:hint="default"/>
        <w:b/>
        <w:i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ascii="Garamond" w:hAnsi="Garamond" w:hint="default"/>
        <w:b w:val="0"/>
        <w:i w:val="0"/>
        <w:strike w:val="0"/>
        <w:dstrike w:val="0"/>
        <w:color w:val="000000"/>
        <w:spacing w:val="-1"/>
        <w:w w:val="99"/>
        <w:sz w:val="24"/>
        <w:szCs w:val="22"/>
        <w:u w:val="none" w:color="000000"/>
        <w:vertAlign w:val="baseline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ascii="Garamond" w:hAnsi="Garamond" w:hint="default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Garamond" w:eastAsia="Arial" w:hAnsi="Garamond" w:cstheme="minorBidi" w:hint="default"/>
        <w:sz w:val="24"/>
      </w:rPr>
    </w:lvl>
    <w:lvl w:ilvl="5">
      <w:start w:val="1"/>
      <w:numFmt w:val="lowerLetter"/>
      <w:lvlText w:val="%6."/>
      <w:lvlJc w:val="left"/>
      <w:pPr>
        <w:ind w:left="4320" w:hanging="180"/>
      </w:pPr>
      <w:rPr>
        <w:rFonts w:ascii="Garamond" w:eastAsiaTheme="minorHAnsi" w:hAnsi="Garamond" w:cstheme="minorBidi"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77662B5"/>
    <w:multiLevelType w:val="hybridMultilevel"/>
    <w:tmpl w:val="483E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328E1"/>
    <w:multiLevelType w:val="hybridMultilevel"/>
    <w:tmpl w:val="483E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94BDC"/>
    <w:multiLevelType w:val="hybridMultilevel"/>
    <w:tmpl w:val="412A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A3CD8"/>
    <w:multiLevelType w:val="hybridMultilevel"/>
    <w:tmpl w:val="483E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07872"/>
    <w:rsid w:val="0003337C"/>
    <w:rsid w:val="00036F8E"/>
    <w:rsid w:val="00056785"/>
    <w:rsid w:val="00056869"/>
    <w:rsid w:val="00076060"/>
    <w:rsid w:val="000B5F73"/>
    <w:rsid w:val="000C2D22"/>
    <w:rsid w:val="000E3779"/>
    <w:rsid w:val="000E5DE9"/>
    <w:rsid w:val="00101361"/>
    <w:rsid w:val="00103229"/>
    <w:rsid w:val="00103243"/>
    <w:rsid w:val="00116CDE"/>
    <w:rsid w:val="00186831"/>
    <w:rsid w:val="001B2807"/>
    <w:rsid w:val="001B28B0"/>
    <w:rsid w:val="001C68B4"/>
    <w:rsid w:val="001D68D9"/>
    <w:rsid w:val="001F3497"/>
    <w:rsid w:val="001F4134"/>
    <w:rsid w:val="001F4EAA"/>
    <w:rsid w:val="00237365"/>
    <w:rsid w:val="002910DD"/>
    <w:rsid w:val="002B0922"/>
    <w:rsid w:val="002B1A39"/>
    <w:rsid w:val="002B5285"/>
    <w:rsid w:val="002E5470"/>
    <w:rsid w:val="002F456E"/>
    <w:rsid w:val="00357CDF"/>
    <w:rsid w:val="00371269"/>
    <w:rsid w:val="00372142"/>
    <w:rsid w:val="0038665F"/>
    <w:rsid w:val="003A319B"/>
    <w:rsid w:val="003B7AE5"/>
    <w:rsid w:val="003C02EA"/>
    <w:rsid w:val="003D618F"/>
    <w:rsid w:val="003D7BBC"/>
    <w:rsid w:val="003F0088"/>
    <w:rsid w:val="003F59DA"/>
    <w:rsid w:val="0043640B"/>
    <w:rsid w:val="0044499B"/>
    <w:rsid w:val="0045592A"/>
    <w:rsid w:val="004A658C"/>
    <w:rsid w:val="004B26FD"/>
    <w:rsid w:val="004C7D14"/>
    <w:rsid w:val="00506365"/>
    <w:rsid w:val="00533776"/>
    <w:rsid w:val="0054477C"/>
    <w:rsid w:val="0054606A"/>
    <w:rsid w:val="00552429"/>
    <w:rsid w:val="00577DD7"/>
    <w:rsid w:val="00594471"/>
    <w:rsid w:val="0061036B"/>
    <w:rsid w:val="006110B2"/>
    <w:rsid w:val="00612763"/>
    <w:rsid w:val="00622870"/>
    <w:rsid w:val="00633272"/>
    <w:rsid w:val="006378A7"/>
    <w:rsid w:val="00651E75"/>
    <w:rsid w:val="006748DC"/>
    <w:rsid w:val="00677A12"/>
    <w:rsid w:val="006B7780"/>
    <w:rsid w:val="006D0821"/>
    <w:rsid w:val="006D6A63"/>
    <w:rsid w:val="006D7C23"/>
    <w:rsid w:val="006D7D69"/>
    <w:rsid w:val="007033AB"/>
    <w:rsid w:val="00704374"/>
    <w:rsid w:val="00710E88"/>
    <w:rsid w:val="00712328"/>
    <w:rsid w:val="007179C5"/>
    <w:rsid w:val="007507F9"/>
    <w:rsid w:val="0075473D"/>
    <w:rsid w:val="00776F1D"/>
    <w:rsid w:val="00781DA6"/>
    <w:rsid w:val="007A54A5"/>
    <w:rsid w:val="007A5CD5"/>
    <w:rsid w:val="007A708D"/>
    <w:rsid w:val="007C08F2"/>
    <w:rsid w:val="007D4FAF"/>
    <w:rsid w:val="008063FD"/>
    <w:rsid w:val="00807086"/>
    <w:rsid w:val="008417CC"/>
    <w:rsid w:val="00842E1B"/>
    <w:rsid w:val="00851EDE"/>
    <w:rsid w:val="00876C64"/>
    <w:rsid w:val="008B4D66"/>
    <w:rsid w:val="008B567A"/>
    <w:rsid w:val="008B56E1"/>
    <w:rsid w:val="008D48AD"/>
    <w:rsid w:val="008F69C4"/>
    <w:rsid w:val="009277AB"/>
    <w:rsid w:val="0095454C"/>
    <w:rsid w:val="00955415"/>
    <w:rsid w:val="009A7D9E"/>
    <w:rsid w:val="00A41BE7"/>
    <w:rsid w:val="00A41C0C"/>
    <w:rsid w:val="00A61FDA"/>
    <w:rsid w:val="00A75B14"/>
    <w:rsid w:val="00A80731"/>
    <w:rsid w:val="00A845E8"/>
    <w:rsid w:val="00AA5A0B"/>
    <w:rsid w:val="00AB5B38"/>
    <w:rsid w:val="00AD7416"/>
    <w:rsid w:val="00AE42E2"/>
    <w:rsid w:val="00AF7156"/>
    <w:rsid w:val="00B10960"/>
    <w:rsid w:val="00B24FB8"/>
    <w:rsid w:val="00B25F41"/>
    <w:rsid w:val="00BD7B05"/>
    <w:rsid w:val="00BF17B5"/>
    <w:rsid w:val="00C26D24"/>
    <w:rsid w:val="00C31D0F"/>
    <w:rsid w:val="00C51F56"/>
    <w:rsid w:val="00C65CD9"/>
    <w:rsid w:val="00CB0362"/>
    <w:rsid w:val="00CC301B"/>
    <w:rsid w:val="00CC781B"/>
    <w:rsid w:val="00D06CD4"/>
    <w:rsid w:val="00D34B1B"/>
    <w:rsid w:val="00D4157D"/>
    <w:rsid w:val="00D57C9B"/>
    <w:rsid w:val="00D6508E"/>
    <w:rsid w:val="00D76B96"/>
    <w:rsid w:val="00D81EEA"/>
    <w:rsid w:val="00DA2768"/>
    <w:rsid w:val="00DA4579"/>
    <w:rsid w:val="00DE1F13"/>
    <w:rsid w:val="00E144C6"/>
    <w:rsid w:val="00E25B80"/>
    <w:rsid w:val="00E77DE4"/>
    <w:rsid w:val="00E97420"/>
    <w:rsid w:val="00EA6969"/>
    <w:rsid w:val="00EC5D4C"/>
    <w:rsid w:val="00ED0556"/>
    <w:rsid w:val="00EE50F3"/>
    <w:rsid w:val="00F166CD"/>
    <w:rsid w:val="00F311FC"/>
    <w:rsid w:val="00F47AC3"/>
    <w:rsid w:val="00F5075B"/>
    <w:rsid w:val="00F51A0B"/>
    <w:rsid w:val="00F7680E"/>
    <w:rsid w:val="00F967FE"/>
    <w:rsid w:val="00FA67D6"/>
    <w:rsid w:val="00FB2C6D"/>
    <w:rsid w:val="00FC4A06"/>
    <w:rsid w:val="00FE00A4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513597A"/>
  <w15:chartTrackingRefBased/>
  <w15:docId w15:val="{67126894-5C3C-480D-8DB1-F8E6F50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63"/>
    <w:pPr>
      <w:widowControl w:val="0"/>
      <w:spacing w:before="120" w:after="120" w:line="240" w:lineRule="auto"/>
    </w:pPr>
    <w:rPr>
      <w:rFonts w:ascii="Arial" w:eastAsia="Arial" w:hAnsi="Arial" w:cs="Arial"/>
      <w:noProof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D9E"/>
    <w:pPr>
      <w:spacing w:before="0" w:after="0"/>
      <w:jc w:val="center"/>
      <w:outlineLvl w:val="0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807086"/>
    <w:pPr>
      <w:keepNext/>
      <w:keepLines/>
      <w:numPr>
        <w:ilvl w:val="1"/>
        <w:numId w:val="7"/>
      </w:numPr>
      <w:autoSpaceDE w:val="0"/>
      <w:autoSpaceDN w:val="0"/>
      <w:adjustRightInd w:val="0"/>
      <w:spacing w:after="200"/>
      <w:outlineLvl w:val="2"/>
    </w:pPr>
    <w:rPr>
      <w:rFonts w:ascii="Garamond" w:hAnsi="Garamond" w:cs="Times New Roman"/>
      <w:b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4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2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F7680E"/>
    <w:pPr>
      <w:spacing w:after="200"/>
    </w:pPr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680E"/>
    <w:rPr>
      <w:rFonts w:ascii="Garamond" w:eastAsia="Arial" w:hAnsi="Garamond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6B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6B96"/>
  </w:style>
  <w:style w:type="paragraph" w:styleId="Footer">
    <w:name w:val="footer"/>
    <w:basedOn w:val="Normal"/>
    <w:link w:val="FooterChar"/>
    <w:uiPriority w:val="99"/>
    <w:unhideWhenUsed/>
    <w:rsid w:val="00D76B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6B96"/>
  </w:style>
  <w:style w:type="character" w:styleId="CommentReference">
    <w:name w:val="annotation reference"/>
    <w:basedOn w:val="DefaultParagraphFont"/>
    <w:uiPriority w:val="99"/>
    <w:semiHidden/>
    <w:unhideWhenUsed/>
    <w:rsid w:val="00EC5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D4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D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778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807086"/>
    <w:rPr>
      <w:rFonts w:ascii="Garamond" w:hAnsi="Garamond" w:cs="Times New Roman"/>
      <w:b/>
      <w:color w:val="000000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7D9E"/>
    <w:rPr>
      <w:rFonts w:ascii="Arial" w:eastAsia="Arial" w:hAnsi="Arial" w:cs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CF2F-33AD-47F9-B742-25ECCFFF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Vigue</dc:creator>
  <cp:keywords/>
  <dc:description/>
  <cp:lastModifiedBy>Troy Fullmer</cp:lastModifiedBy>
  <cp:revision>14</cp:revision>
  <cp:lastPrinted>2021-04-20T20:30:00Z</cp:lastPrinted>
  <dcterms:created xsi:type="dcterms:W3CDTF">2022-03-30T14:18:00Z</dcterms:created>
  <dcterms:modified xsi:type="dcterms:W3CDTF">2022-04-05T15:55:00Z</dcterms:modified>
</cp:coreProperties>
</file>